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黑体简体" w:hAnsi="方正黑体简体" w:eastAsia="方正黑体简体" w:cs="方正黑体简体"/>
          <w:color w:val="auto"/>
          <w:sz w:val="32"/>
          <w:szCs w:val="32"/>
          <w:lang w:eastAsia="zh-CN"/>
        </w:rPr>
      </w:pPr>
      <w:bookmarkStart w:id="0" w:name="_GoBack"/>
      <w:bookmarkEnd w:id="0"/>
      <w:r>
        <w:rPr>
          <w:rFonts w:hint="eastAsia" w:ascii="方正黑体简体" w:hAnsi="方正黑体简体" w:eastAsia="方正黑体简体" w:cs="方正黑体简体"/>
          <w:color w:val="auto"/>
          <w:sz w:val="32"/>
          <w:szCs w:val="32"/>
          <w:lang w:eastAsia="zh-CN"/>
        </w:rPr>
        <w:t>附件</w:t>
      </w:r>
    </w:p>
    <w:p>
      <w:pPr>
        <w:spacing w:line="560" w:lineRule="exact"/>
        <w:jc w:val="left"/>
        <w:rPr>
          <w:rFonts w:hint="eastAsia" w:ascii="方正黑体简体" w:hAnsi="方正黑体简体" w:eastAsia="方正黑体简体" w:cs="方正黑体简体"/>
          <w:color w:val="auto"/>
          <w:sz w:val="32"/>
          <w:szCs w:val="32"/>
          <w:lang w:eastAsia="zh-CN"/>
        </w:rPr>
      </w:pP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2024-2026年</w:t>
      </w:r>
      <w:r>
        <w:rPr>
          <w:rFonts w:hint="eastAsia" w:ascii="方正小标宋简体" w:hAnsi="方正小标宋简体" w:eastAsia="方正小标宋简体" w:cs="方正小标宋简体"/>
          <w:color w:val="auto"/>
          <w:sz w:val="44"/>
          <w:szCs w:val="44"/>
          <w:lang w:eastAsia="zh-CN"/>
        </w:rPr>
        <w:t>广州</w:t>
      </w:r>
      <w:r>
        <w:rPr>
          <w:rFonts w:hint="eastAsia" w:ascii="方正小标宋简体" w:hAnsi="方正小标宋简体" w:eastAsia="方正小标宋简体" w:cs="方正小标宋简体"/>
          <w:color w:val="auto"/>
          <w:sz w:val="44"/>
          <w:szCs w:val="44"/>
        </w:rPr>
        <w:t>市政策性</w:t>
      </w:r>
      <w:r>
        <w:rPr>
          <w:rFonts w:hint="eastAsia" w:ascii="方正小标宋简体" w:hAnsi="方正小标宋简体" w:eastAsia="方正小标宋简体" w:cs="方正小标宋简体"/>
          <w:color w:val="auto"/>
          <w:sz w:val="44"/>
          <w:szCs w:val="44"/>
        </w:rPr>
        <w:br w:type="textWrapping"/>
      </w:r>
      <w:r>
        <w:rPr>
          <w:rFonts w:hint="eastAsia" w:ascii="方正小标宋简体" w:hAnsi="方正小标宋简体" w:eastAsia="方正小标宋简体" w:cs="方正小标宋简体"/>
          <w:color w:val="auto"/>
          <w:sz w:val="44"/>
          <w:szCs w:val="44"/>
        </w:rPr>
        <w:t>农业保险实施方案（征求意见稿）</w:t>
      </w:r>
    </w:p>
    <w:p>
      <w:pPr>
        <w:spacing w:line="360" w:lineRule="auto"/>
        <w:rPr>
          <w:rFonts w:hint="eastAsia"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为认真贯彻落实《广东省财政厅 广东省农业农村厅 广东省林业局 国家金融监督管理总局广东监管局关于印发〈广东省政策性农业保险实施方案（2024-2026年）〉的通知》（粤财金〔2023〕35号）有关要求，不断提升农业安全生产风险保障，结合我市实际，制定本实施方案。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Cs w:val="0"/>
          <w:color w:val="auto"/>
          <w:kern w:val="2"/>
          <w:sz w:val="32"/>
          <w:szCs w:val="32"/>
          <w:lang w:val="en-US" w:eastAsia="zh-CN" w:bidi="ar-SA"/>
        </w:rPr>
      </w:pPr>
      <w:r>
        <w:rPr>
          <w:rFonts w:hint="eastAsia" w:ascii="黑体" w:hAnsi="黑体" w:eastAsia="黑体" w:cs="黑体"/>
          <w:bCs w:val="0"/>
          <w:color w:val="auto"/>
          <w:kern w:val="2"/>
          <w:sz w:val="32"/>
          <w:szCs w:val="32"/>
          <w:lang w:val="en-US" w:eastAsia="zh-CN" w:bidi="ar-SA"/>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以习近平新时代中国特色社会主义思想为指导，全面贯彻党的二十大精神，深入贯彻习近平总书记视察广东重要讲话、重要指示精神，认真落实省委“1310”具体部署</w:t>
      </w:r>
      <w:r>
        <w:rPr>
          <w:rFonts w:hint="eastAsia" w:ascii="仿宋_GB2312" w:hAnsi="仿宋_GB2312" w:eastAsia="仿宋_GB2312" w:cs="仿宋_GB2312"/>
          <w:i w:val="0"/>
          <w:caps w:val="0"/>
          <w:color w:val="auto"/>
          <w:spacing w:val="0"/>
          <w:sz w:val="32"/>
          <w:szCs w:val="32"/>
          <w:shd w:val="clear" w:fill="auto"/>
        </w:rPr>
        <w:t>和</w:t>
      </w:r>
      <w:r>
        <w:rPr>
          <w:rStyle w:val="7"/>
          <w:rFonts w:hint="eastAsia" w:ascii="仿宋_GB2312" w:hAnsi="仿宋_GB2312" w:eastAsia="仿宋_GB2312" w:cs="仿宋_GB2312"/>
          <w:i w:val="0"/>
          <w:caps w:val="0"/>
          <w:color w:val="auto"/>
          <w:spacing w:val="0"/>
          <w:sz w:val="32"/>
          <w:szCs w:val="32"/>
          <w:shd w:val="clear"/>
        </w:rPr>
        <w:t>市委“1312”</w:t>
      </w:r>
      <w:r>
        <w:rPr>
          <w:rFonts w:hint="eastAsia" w:ascii="仿宋_GB2312" w:hAnsi="仿宋_GB2312" w:eastAsia="仿宋_GB2312" w:cs="仿宋_GB2312"/>
          <w:i w:val="0"/>
          <w:caps w:val="0"/>
          <w:color w:val="auto"/>
          <w:spacing w:val="0"/>
          <w:sz w:val="32"/>
          <w:szCs w:val="32"/>
          <w:shd w:val="clear" w:fill="auto"/>
        </w:rPr>
        <w:t>思路举措</w:t>
      </w:r>
      <w:r>
        <w:rPr>
          <w:rFonts w:hint="eastAsia" w:ascii="仿宋_GB2312" w:hAnsi="仿宋_GB2312" w:eastAsia="仿宋_GB2312" w:cs="仿宋_GB2312"/>
          <w:bCs w:val="0"/>
          <w:color w:val="auto"/>
          <w:kern w:val="2"/>
          <w:sz w:val="32"/>
          <w:szCs w:val="32"/>
          <w:lang w:val="en-US" w:eastAsia="zh-CN" w:bidi="ar-SA"/>
        </w:rPr>
        <w:t>，全面实施乡村振兴战略、“百县千镇万村高质量发展工程”，锚定都市现代农业强市目标，坚决保障粮食和重要农产品稳定供给，筑牢全市高质量发展“三农”工作基本盘，不断完善以政策性农业保险为基础的农业保险保障体系，构筑多层次的农业保险风险分散机制，优化承保、理赔服务，推动农业保险持续健康高质量发展，助力实现农业农村现代化。</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黑体" w:hAnsi="黑体" w:eastAsia="黑体" w:cs="黑体"/>
          <w:bCs w:val="0"/>
          <w:color w:val="auto"/>
          <w:kern w:val="2"/>
          <w:sz w:val="32"/>
          <w:szCs w:val="32"/>
          <w:lang w:val="en-US" w:eastAsia="zh-CN" w:bidi="ar-SA"/>
        </w:rPr>
      </w:pPr>
      <w:r>
        <w:rPr>
          <w:rFonts w:hint="eastAsia" w:ascii="黑体" w:hAnsi="黑体" w:eastAsia="黑体" w:cs="黑体"/>
          <w:bCs w:val="0"/>
          <w:color w:val="auto"/>
          <w:kern w:val="2"/>
          <w:sz w:val="32"/>
          <w:szCs w:val="32"/>
          <w:lang w:val="en-US" w:eastAsia="zh-CN" w:bidi="ar-SA"/>
        </w:rPr>
        <w:t>二、基本原则</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（一）政府引导。各地政府加强对政策性农业保险工作的领导，积极宣传推广，引导农业生产者参保，落实财政配套补贴资金，加强理赔监管服务，保护农户的生产积极性。</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二）市场运作。充分发挥市场配置资源的决定性作用，通过公开招标、竞争性磋商等方式引入商业保险运营机构进行经营管理，承担理赔责任风险。通过年度工作业绩考核实行奖惩制度，保持竞争提升保险服务水平。</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（三）自主自愿。通过政策引导、保费补贴、理赔服务和农户参保受益实例宣传等方式调动参保积极性，促进农户自愿投保。</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（四）协同推进。确保保费补贴政策与其他惠农政策有机结合、共同推进，充分发挥财政资金支农惠农强农的综合效益，切实提高财政资金支农绩效。</w:t>
      </w:r>
    </w:p>
    <w:p>
      <w:pPr>
        <w:pStyle w:val="4"/>
        <w:adjustRightInd/>
        <w:snapToGrid/>
        <w:spacing w:line="560" w:lineRule="exact"/>
        <w:ind w:left="0" w:leftChars="0" w:firstLine="640" w:firstLineChars="200"/>
        <w:outlineLvl w:val="9"/>
        <w:rPr>
          <w:rFonts w:hint="eastAsia" w:ascii="黑体" w:hAnsi="黑体" w:eastAsia="黑体" w:cs="黑体"/>
          <w:bCs w:val="0"/>
          <w:color w:val="auto"/>
          <w:kern w:val="2"/>
          <w:sz w:val="32"/>
          <w:szCs w:val="32"/>
          <w:lang w:val="en-US" w:eastAsia="zh-CN" w:bidi="ar-SA"/>
        </w:rPr>
      </w:pPr>
      <w:r>
        <w:rPr>
          <w:rFonts w:hint="eastAsia" w:ascii="黑体" w:hAnsi="黑体" w:eastAsia="黑体" w:cs="黑体"/>
          <w:bCs w:val="0"/>
          <w:color w:val="auto"/>
          <w:kern w:val="2"/>
          <w:sz w:val="32"/>
          <w:szCs w:val="32"/>
          <w:lang w:val="en-US" w:eastAsia="zh-CN" w:bidi="ar-SA"/>
        </w:rPr>
        <w:t>三、实施内容</w:t>
      </w:r>
    </w:p>
    <w:p>
      <w:pPr>
        <w:pStyle w:val="4"/>
        <w:adjustRightInd/>
        <w:snapToGrid/>
        <w:spacing w:line="560" w:lineRule="exact"/>
        <w:ind w:left="0" w:leftChars="0" w:firstLine="640" w:firstLineChars="200"/>
        <w:outlineLvl w:val="9"/>
        <w:rPr>
          <w:rFonts w:hint="default"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eastAsia="zh-CN"/>
        </w:rPr>
        <w:t>（一）</w:t>
      </w:r>
      <w:r>
        <w:rPr>
          <w:rFonts w:hint="default" w:ascii="仿宋_GB2312" w:hAnsi="仿宋_GB2312" w:eastAsia="仿宋_GB2312" w:cs="仿宋_GB2312"/>
          <w:snapToGrid/>
          <w:color w:val="auto"/>
          <w:kern w:val="2"/>
          <w:sz w:val="32"/>
          <w:szCs w:val="32"/>
        </w:rPr>
        <w:t>范围。</w:t>
      </w:r>
      <w:r>
        <w:rPr>
          <w:rFonts w:hint="default" w:ascii="仿宋_GB2312" w:hAnsi="仿宋_GB2312" w:eastAsia="仿宋_GB2312" w:cs="仿宋_GB2312"/>
          <w:bCs w:val="0"/>
          <w:color w:val="auto"/>
          <w:kern w:val="2"/>
          <w:sz w:val="32"/>
          <w:szCs w:val="32"/>
          <w:lang w:val="en-US" w:eastAsia="zh-CN" w:bidi="ar-SA"/>
        </w:rPr>
        <w:t>全市行政区域。</w:t>
      </w:r>
    </w:p>
    <w:p>
      <w:pPr>
        <w:pStyle w:val="4"/>
        <w:adjustRightInd/>
        <w:snapToGrid/>
        <w:spacing w:line="560" w:lineRule="exact"/>
        <w:ind w:left="0" w:leftChars="0" w:firstLine="640" w:firstLineChars="200"/>
        <w:outlineLvl w:val="9"/>
        <w:rPr>
          <w:rFonts w:hint="default" w:ascii="仿宋_GB2312" w:hAnsi="仿宋_GB2312" w:eastAsia="仿宋_GB2312" w:cs="仿宋_GB2312"/>
          <w:bCs w:val="0"/>
          <w:color w:val="auto"/>
          <w:kern w:val="2"/>
          <w:sz w:val="32"/>
          <w:szCs w:val="32"/>
          <w:lang w:val="en-US" w:eastAsia="zh-CN" w:bidi="ar-SA"/>
        </w:rPr>
      </w:pPr>
      <w:r>
        <w:rPr>
          <w:rFonts w:hint="default" w:ascii="仿宋_GB2312" w:hAnsi="仿宋_GB2312" w:eastAsia="仿宋_GB2312" w:cs="仿宋_GB2312"/>
          <w:snapToGrid/>
          <w:color w:val="auto"/>
          <w:kern w:val="2"/>
          <w:sz w:val="32"/>
          <w:szCs w:val="32"/>
        </w:rPr>
        <w:t>（二）时间。</w:t>
      </w:r>
      <w:r>
        <w:rPr>
          <w:rFonts w:hint="default" w:ascii="仿宋_GB2312" w:hAnsi="仿宋_GB2312" w:eastAsia="仿宋_GB2312" w:cs="仿宋_GB2312"/>
          <w:bCs w:val="0"/>
          <w:color w:val="auto"/>
          <w:kern w:val="2"/>
          <w:sz w:val="32"/>
          <w:szCs w:val="32"/>
          <w:lang w:val="en-US" w:eastAsia="zh-CN" w:bidi="ar-SA"/>
        </w:rPr>
        <w:t>202</w:t>
      </w:r>
      <w:r>
        <w:rPr>
          <w:rFonts w:hint="eastAsia" w:ascii="仿宋_GB2312" w:hAnsi="仿宋_GB2312" w:eastAsia="仿宋_GB2312" w:cs="仿宋_GB2312"/>
          <w:bCs w:val="0"/>
          <w:color w:val="auto"/>
          <w:kern w:val="2"/>
          <w:sz w:val="32"/>
          <w:szCs w:val="32"/>
          <w:lang w:val="en-US" w:eastAsia="zh-CN" w:bidi="ar-SA"/>
        </w:rPr>
        <w:t>4</w:t>
      </w:r>
      <w:r>
        <w:rPr>
          <w:rFonts w:hint="default" w:ascii="仿宋_GB2312" w:hAnsi="仿宋_GB2312" w:eastAsia="仿宋_GB2312" w:cs="仿宋_GB2312"/>
          <w:bCs w:val="0"/>
          <w:color w:val="auto"/>
          <w:kern w:val="2"/>
          <w:sz w:val="32"/>
          <w:szCs w:val="32"/>
          <w:lang w:val="en-US" w:eastAsia="zh-CN" w:bidi="ar-SA"/>
        </w:rPr>
        <w:t>年至202</w:t>
      </w:r>
      <w:r>
        <w:rPr>
          <w:rFonts w:hint="eastAsia" w:ascii="仿宋_GB2312" w:hAnsi="仿宋_GB2312" w:eastAsia="仿宋_GB2312" w:cs="仿宋_GB2312"/>
          <w:bCs w:val="0"/>
          <w:color w:val="auto"/>
          <w:kern w:val="2"/>
          <w:sz w:val="32"/>
          <w:szCs w:val="32"/>
          <w:lang w:val="en-US" w:eastAsia="zh-CN" w:bidi="ar-SA"/>
        </w:rPr>
        <w:t>6</w:t>
      </w:r>
      <w:r>
        <w:rPr>
          <w:rFonts w:hint="default" w:ascii="仿宋_GB2312" w:hAnsi="仿宋_GB2312" w:eastAsia="仿宋_GB2312" w:cs="仿宋_GB2312"/>
          <w:bCs w:val="0"/>
          <w:color w:val="auto"/>
          <w:kern w:val="2"/>
          <w:sz w:val="32"/>
          <w:szCs w:val="32"/>
          <w:lang w:val="en-US" w:eastAsia="zh-CN" w:bidi="ar-SA"/>
        </w:rPr>
        <w:t>年，共3年。本方案在完成新一轮招标后开始实施。</w:t>
      </w:r>
    </w:p>
    <w:p>
      <w:pPr>
        <w:pStyle w:val="4"/>
        <w:adjustRightInd/>
        <w:snapToGrid/>
        <w:spacing w:line="560" w:lineRule="exact"/>
        <w:ind w:left="0" w:leftChars="0" w:firstLine="640" w:firstLineChars="200"/>
        <w:outlineLvl w:val="9"/>
        <w:rPr>
          <w:rFonts w:hint="default" w:ascii="仿宋_GB2312" w:hAnsi="仿宋_GB2312" w:eastAsia="仿宋_GB2312" w:cs="仿宋_GB2312"/>
          <w:snapToGrid/>
          <w:color w:val="auto"/>
          <w:kern w:val="2"/>
          <w:sz w:val="32"/>
          <w:szCs w:val="32"/>
        </w:rPr>
      </w:pPr>
      <w:r>
        <w:rPr>
          <w:rFonts w:hint="default" w:ascii="仿宋_GB2312" w:hAnsi="仿宋_GB2312" w:eastAsia="仿宋_GB2312" w:cs="仿宋_GB2312"/>
          <w:snapToGrid/>
          <w:color w:val="auto"/>
          <w:kern w:val="2"/>
          <w:sz w:val="32"/>
          <w:szCs w:val="32"/>
        </w:rPr>
        <w:t>（三）保险品种。</w:t>
      </w:r>
    </w:p>
    <w:p>
      <w:pPr>
        <w:pStyle w:val="4"/>
        <w:adjustRightInd/>
        <w:snapToGrid/>
        <w:spacing w:line="560" w:lineRule="exact"/>
        <w:ind w:left="0" w:leftChars="0" w:firstLine="640" w:firstLineChars="200"/>
        <w:outlineLvl w:val="9"/>
        <w:rPr>
          <w:rFonts w:hint="default" w:ascii="仿宋_GB2312" w:hAnsi="仿宋_GB2312" w:eastAsia="仿宋_GB2312" w:cs="仿宋_GB2312"/>
          <w:bCs w:val="0"/>
          <w:color w:val="auto"/>
          <w:kern w:val="2"/>
          <w:sz w:val="32"/>
          <w:szCs w:val="32"/>
          <w:lang w:val="en-US" w:eastAsia="zh-CN" w:bidi="ar-SA"/>
        </w:rPr>
      </w:pPr>
      <w:r>
        <w:rPr>
          <w:rFonts w:hint="default" w:ascii="仿宋_GB2312" w:hAnsi="仿宋_GB2312" w:eastAsia="仿宋_GB2312" w:cs="仿宋_GB2312"/>
          <w:bCs w:val="0"/>
          <w:color w:val="auto"/>
          <w:kern w:val="2"/>
          <w:sz w:val="32"/>
          <w:szCs w:val="32"/>
          <w:lang w:val="en-US" w:eastAsia="zh-CN" w:bidi="ar-SA"/>
        </w:rPr>
        <w:t>1.种植类：岭南水果、水稻、水稻制种、玉米、花生、马铃薯、甘蔗、花卉苗木、茶叶、蔬菜</w:t>
      </w:r>
      <w:r>
        <w:rPr>
          <w:rFonts w:hint="eastAsia" w:ascii="仿宋_GB2312" w:hAnsi="仿宋_GB2312" w:eastAsia="仿宋_GB2312" w:cs="仿宋_GB2312"/>
          <w:bCs w:val="0"/>
          <w:color w:val="auto"/>
          <w:kern w:val="2"/>
          <w:sz w:val="32"/>
          <w:szCs w:val="32"/>
          <w:lang w:val="en-US" w:eastAsia="zh-CN" w:bidi="ar-SA"/>
        </w:rPr>
        <w:t>、大豆</w:t>
      </w:r>
      <w:r>
        <w:rPr>
          <w:rFonts w:hint="default" w:ascii="仿宋_GB2312" w:hAnsi="仿宋_GB2312" w:eastAsia="仿宋_GB2312" w:cs="仿宋_GB2312"/>
          <w:bCs w:val="0"/>
          <w:color w:val="auto"/>
          <w:kern w:val="2"/>
          <w:sz w:val="32"/>
          <w:szCs w:val="32"/>
          <w:lang w:val="en-US" w:eastAsia="zh-CN" w:bidi="ar-SA"/>
        </w:rPr>
        <w:t>。</w:t>
      </w:r>
    </w:p>
    <w:p>
      <w:pPr>
        <w:pStyle w:val="4"/>
        <w:adjustRightInd/>
        <w:snapToGrid/>
        <w:spacing w:line="560" w:lineRule="exact"/>
        <w:ind w:left="0" w:leftChars="0" w:firstLine="640" w:firstLineChars="200"/>
        <w:outlineLvl w:val="9"/>
        <w:rPr>
          <w:rFonts w:hint="default" w:ascii="仿宋_GB2312" w:hAnsi="仿宋_GB2312" w:eastAsia="仿宋_GB2312" w:cs="仿宋_GB2312"/>
          <w:bCs w:val="0"/>
          <w:color w:val="auto"/>
          <w:kern w:val="2"/>
          <w:sz w:val="32"/>
          <w:szCs w:val="32"/>
          <w:lang w:val="en-US" w:eastAsia="zh-CN" w:bidi="ar-SA"/>
        </w:rPr>
      </w:pPr>
      <w:r>
        <w:rPr>
          <w:rFonts w:hint="default" w:ascii="仿宋_GB2312" w:hAnsi="仿宋_GB2312" w:eastAsia="仿宋_GB2312" w:cs="仿宋_GB2312"/>
          <w:bCs w:val="0"/>
          <w:color w:val="auto"/>
          <w:kern w:val="2"/>
          <w:sz w:val="32"/>
          <w:szCs w:val="32"/>
          <w:lang w:val="en-US" w:eastAsia="zh-CN" w:bidi="ar-SA"/>
        </w:rPr>
        <w:t>2.养殖类：能繁母猪、奶牛、生猪（含育肥猪、仔猪）、家禽（含肉鸡、蛋鸡、肉鸭）、水产</w:t>
      </w:r>
      <w:r>
        <w:rPr>
          <w:rFonts w:hint="eastAsia" w:ascii="仿宋_GB2312" w:hAnsi="仿宋_GB2312" w:eastAsia="仿宋_GB2312" w:cs="仿宋_GB2312"/>
          <w:bCs w:val="0"/>
          <w:color w:val="auto"/>
          <w:kern w:val="2"/>
          <w:sz w:val="32"/>
          <w:szCs w:val="32"/>
          <w:lang w:val="en-US" w:eastAsia="zh-CN" w:bidi="ar-SA"/>
        </w:rPr>
        <w:t>养殖、现代化海洋牧场养殖</w:t>
      </w:r>
      <w:r>
        <w:rPr>
          <w:rFonts w:hint="default" w:ascii="仿宋_GB2312" w:hAnsi="仿宋_GB2312" w:eastAsia="仿宋_GB2312" w:cs="仿宋_GB2312"/>
          <w:bCs w:val="0"/>
          <w:color w:val="auto"/>
          <w:kern w:val="2"/>
          <w:sz w:val="32"/>
          <w:szCs w:val="32"/>
          <w:lang w:val="en-US" w:eastAsia="zh-CN" w:bidi="ar-SA"/>
        </w:rPr>
        <w:t>。</w:t>
      </w:r>
    </w:p>
    <w:p>
      <w:pPr>
        <w:pStyle w:val="4"/>
        <w:adjustRightInd/>
        <w:snapToGrid/>
        <w:spacing w:line="560" w:lineRule="exact"/>
        <w:ind w:left="0" w:leftChars="0" w:firstLine="640" w:firstLineChars="200"/>
        <w:outlineLvl w:val="9"/>
        <w:rPr>
          <w:rFonts w:hint="default" w:ascii="仿宋_GB2312" w:hAnsi="仿宋_GB2312" w:eastAsia="仿宋_GB2312" w:cs="仿宋_GB2312"/>
          <w:bCs w:val="0"/>
          <w:color w:val="auto"/>
          <w:kern w:val="2"/>
          <w:sz w:val="32"/>
          <w:szCs w:val="32"/>
          <w:lang w:val="en-US" w:eastAsia="zh-CN" w:bidi="ar-SA"/>
        </w:rPr>
      </w:pPr>
      <w:r>
        <w:rPr>
          <w:rFonts w:hint="default" w:ascii="仿宋_GB2312" w:hAnsi="仿宋_GB2312" w:eastAsia="仿宋_GB2312" w:cs="仿宋_GB2312"/>
          <w:bCs w:val="0"/>
          <w:color w:val="auto"/>
          <w:kern w:val="2"/>
          <w:sz w:val="32"/>
          <w:szCs w:val="32"/>
          <w:lang w:val="en-US" w:eastAsia="zh-CN" w:bidi="ar-SA"/>
        </w:rPr>
        <w:t>3.设施农业：种植大棚（含棚架、棚膜和设施）。</w:t>
      </w:r>
    </w:p>
    <w:p>
      <w:pPr>
        <w:pStyle w:val="4"/>
        <w:adjustRightInd/>
        <w:snapToGrid/>
        <w:spacing w:line="560" w:lineRule="exact"/>
        <w:ind w:left="0" w:leftChars="0" w:firstLine="640" w:firstLineChars="200"/>
        <w:outlineLvl w:val="9"/>
        <w:rPr>
          <w:rFonts w:hint="default" w:ascii="仿宋_GB2312" w:hAnsi="仿宋_GB2312" w:eastAsia="仿宋_GB2312" w:cs="仿宋_GB2312"/>
          <w:bCs w:val="0"/>
          <w:color w:val="auto"/>
          <w:kern w:val="2"/>
          <w:sz w:val="32"/>
          <w:szCs w:val="32"/>
          <w:lang w:val="en-US" w:eastAsia="zh-CN" w:bidi="ar-SA"/>
        </w:rPr>
      </w:pPr>
      <w:r>
        <w:rPr>
          <w:rFonts w:hint="default" w:ascii="仿宋_GB2312" w:hAnsi="仿宋_GB2312" w:eastAsia="仿宋_GB2312" w:cs="仿宋_GB2312"/>
          <w:bCs w:val="0"/>
          <w:color w:val="auto"/>
          <w:kern w:val="2"/>
          <w:sz w:val="32"/>
          <w:szCs w:val="32"/>
          <w:lang w:val="en-US" w:eastAsia="zh-CN" w:bidi="ar-SA"/>
        </w:rPr>
        <w:t>4.区级试点品种。</w:t>
      </w:r>
      <w:r>
        <w:rPr>
          <w:rFonts w:hint="default" w:ascii="仿宋_GB2312" w:hAnsi="仿宋_GB2312" w:eastAsia="仿宋_GB2312" w:cs="仿宋_GB2312"/>
          <w:snapToGrid/>
          <w:color w:val="auto"/>
          <w:kern w:val="2"/>
          <w:sz w:val="32"/>
          <w:szCs w:val="32"/>
          <w:lang w:eastAsia="zh-CN"/>
        </w:rPr>
        <w:t>鼓励</w:t>
      </w:r>
      <w:r>
        <w:rPr>
          <w:rFonts w:hint="default" w:ascii="仿宋_GB2312" w:hAnsi="仿宋_GB2312" w:eastAsia="仿宋_GB2312" w:cs="仿宋_GB2312"/>
          <w:bCs w:val="0"/>
          <w:color w:val="auto"/>
          <w:kern w:val="2"/>
          <w:sz w:val="32"/>
          <w:szCs w:val="32"/>
          <w:lang w:val="en-US" w:eastAsia="zh-CN" w:bidi="ar-SA"/>
        </w:rPr>
        <w:t>各区自行开办特色农业保险</w:t>
      </w:r>
      <w:r>
        <w:rPr>
          <w:rFonts w:hint="eastAsia" w:ascii="仿宋_GB2312" w:hAnsi="仿宋_GB2312" w:eastAsia="仿宋_GB2312" w:cs="仿宋_GB2312"/>
          <w:bCs w:val="0"/>
          <w:color w:val="auto"/>
          <w:kern w:val="2"/>
          <w:sz w:val="32"/>
          <w:szCs w:val="32"/>
          <w:lang w:val="en-US" w:eastAsia="zh-CN" w:bidi="ar-SA"/>
        </w:rPr>
        <w:t>，</w:t>
      </w:r>
      <w:r>
        <w:rPr>
          <w:rFonts w:hint="default" w:ascii="仿宋_GB2312" w:hAnsi="仿宋_GB2312" w:eastAsia="仿宋_GB2312" w:cs="仿宋_GB2312"/>
          <w:bCs w:val="0"/>
          <w:color w:val="auto"/>
          <w:kern w:val="2"/>
          <w:sz w:val="32"/>
          <w:szCs w:val="32"/>
          <w:lang w:val="en-US" w:eastAsia="zh-CN" w:bidi="ar-SA"/>
        </w:rPr>
        <w:t>各区在上述险种之外新设立并实施的特色险种或价格</w:t>
      </w:r>
      <w:r>
        <w:rPr>
          <w:rFonts w:hint="eastAsia" w:ascii="仿宋_GB2312" w:hAnsi="仿宋_GB2312" w:eastAsia="仿宋_GB2312" w:cs="仿宋_GB2312"/>
          <w:bCs w:val="0"/>
          <w:color w:val="auto"/>
          <w:kern w:val="2"/>
          <w:sz w:val="32"/>
          <w:szCs w:val="32"/>
          <w:lang w:val="en-US" w:eastAsia="zh-CN" w:bidi="ar-SA"/>
        </w:rPr>
        <w:t>（</w:t>
      </w:r>
      <w:r>
        <w:rPr>
          <w:rFonts w:hint="default" w:ascii="仿宋_GB2312" w:hAnsi="仿宋_GB2312" w:eastAsia="仿宋_GB2312" w:cs="仿宋_GB2312"/>
          <w:bCs w:val="0"/>
          <w:color w:val="auto"/>
          <w:kern w:val="2"/>
          <w:sz w:val="32"/>
          <w:szCs w:val="32"/>
          <w:lang w:val="en-US" w:eastAsia="zh-CN" w:bidi="ar-SA"/>
        </w:rPr>
        <w:t>收入</w:t>
      </w:r>
      <w:r>
        <w:rPr>
          <w:rFonts w:hint="eastAsia" w:ascii="仿宋_GB2312" w:hAnsi="仿宋_GB2312" w:eastAsia="仿宋_GB2312" w:cs="仿宋_GB2312"/>
          <w:bCs w:val="0"/>
          <w:color w:val="auto"/>
          <w:kern w:val="2"/>
          <w:sz w:val="32"/>
          <w:szCs w:val="32"/>
          <w:lang w:val="en-US" w:eastAsia="zh-CN" w:bidi="ar-SA"/>
        </w:rPr>
        <w:t>）指数</w:t>
      </w:r>
      <w:r>
        <w:rPr>
          <w:rFonts w:hint="default" w:ascii="仿宋_GB2312" w:hAnsi="仿宋_GB2312" w:eastAsia="仿宋_GB2312" w:cs="仿宋_GB2312"/>
          <w:bCs w:val="0"/>
          <w:color w:val="auto"/>
          <w:kern w:val="2"/>
          <w:sz w:val="32"/>
          <w:szCs w:val="32"/>
          <w:lang w:val="en-US" w:eastAsia="zh-CN" w:bidi="ar-SA"/>
        </w:rPr>
        <w:t>保险等新模式，由区农业农村部门会同级财政部门及时向市农业保险工作小组备案</w:t>
      </w:r>
      <w:r>
        <w:rPr>
          <w:rFonts w:hint="eastAsia" w:ascii="仿宋_GB2312" w:hAnsi="仿宋_GB2312" w:eastAsia="仿宋_GB2312" w:cs="仿宋_GB2312"/>
          <w:bCs w:val="0"/>
          <w:color w:val="auto"/>
          <w:kern w:val="2"/>
          <w:sz w:val="32"/>
          <w:szCs w:val="32"/>
          <w:lang w:val="en-US" w:eastAsia="zh-CN" w:bidi="ar-SA"/>
        </w:rPr>
        <w:t>，不固定市财政补贴比例，市农业保险工作小组视情况给予保费奖补</w:t>
      </w:r>
      <w:r>
        <w:rPr>
          <w:rFonts w:hint="default" w:ascii="仿宋_GB2312" w:hAnsi="仿宋_GB2312" w:eastAsia="仿宋_GB2312" w:cs="仿宋_GB2312"/>
          <w:bCs w:val="0"/>
          <w:color w:val="auto"/>
          <w:kern w:val="2"/>
          <w:sz w:val="32"/>
          <w:szCs w:val="32"/>
          <w:lang w:val="en-US" w:eastAsia="zh-CN" w:bidi="ar-SA"/>
        </w:rPr>
        <w:t>。</w:t>
      </w:r>
    </w:p>
    <w:p>
      <w:pPr>
        <w:pStyle w:val="4"/>
        <w:adjustRightInd/>
        <w:snapToGrid/>
        <w:spacing w:line="560" w:lineRule="exact"/>
        <w:ind w:left="0" w:leftChars="0" w:firstLine="640" w:firstLineChars="200"/>
        <w:outlineLvl w:val="9"/>
        <w:rPr>
          <w:rFonts w:hint="default" w:ascii="仿宋_GB2312" w:hAnsi="仿宋_GB2312" w:eastAsia="仿宋_GB2312" w:cs="仿宋_GB2312"/>
          <w:bCs w:val="0"/>
          <w:color w:val="auto"/>
          <w:kern w:val="2"/>
          <w:sz w:val="32"/>
          <w:szCs w:val="32"/>
          <w:lang w:val="en-US" w:eastAsia="zh-CN" w:bidi="ar-SA"/>
        </w:rPr>
      </w:pPr>
      <w:r>
        <w:rPr>
          <w:rFonts w:hint="default" w:ascii="仿宋_GB2312" w:hAnsi="仿宋_GB2312" w:eastAsia="仿宋_GB2312" w:cs="仿宋_GB2312"/>
          <w:snapToGrid/>
          <w:color w:val="auto"/>
          <w:kern w:val="2"/>
          <w:sz w:val="32"/>
          <w:szCs w:val="32"/>
        </w:rPr>
        <w:t>（四）参保对象。</w:t>
      </w:r>
      <w:r>
        <w:rPr>
          <w:rFonts w:hint="default" w:ascii="仿宋_GB2312" w:hAnsi="仿宋_GB2312" w:eastAsia="仿宋_GB2312" w:cs="仿宋_GB2312"/>
          <w:bCs w:val="0"/>
          <w:color w:val="auto"/>
          <w:kern w:val="2"/>
          <w:sz w:val="32"/>
          <w:szCs w:val="32"/>
          <w:lang w:val="en-US" w:eastAsia="zh-CN" w:bidi="ar-SA"/>
        </w:rPr>
        <w:t>全市符合投保条件的所有</w:t>
      </w:r>
      <w:r>
        <w:rPr>
          <w:rFonts w:hint="eastAsia" w:ascii="仿宋_GB2312" w:hAnsi="仿宋_GB2312" w:eastAsia="仿宋_GB2312" w:cs="仿宋_GB2312"/>
          <w:bCs w:val="0"/>
          <w:color w:val="auto"/>
          <w:kern w:val="2"/>
          <w:sz w:val="32"/>
          <w:szCs w:val="32"/>
          <w:lang w:val="en-US" w:eastAsia="zh-CN" w:bidi="ar-SA"/>
        </w:rPr>
        <w:t>农</w:t>
      </w:r>
      <w:r>
        <w:rPr>
          <w:rFonts w:hint="default" w:ascii="仿宋_GB2312" w:hAnsi="仿宋_GB2312" w:eastAsia="仿宋_GB2312" w:cs="仿宋_GB2312"/>
          <w:bCs w:val="0"/>
          <w:color w:val="auto"/>
          <w:kern w:val="2"/>
          <w:sz w:val="32"/>
          <w:szCs w:val="32"/>
          <w:lang w:val="en-US" w:eastAsia="zh-CN" w:bidi="ar-SA"/>
        </w:rPr>
        <w:t>户、企业、 农场</w:t>
      </w:r>
      <w:r>
        <w:rPr>
          <w:rFonts w:hint="eastAsia" w:ascii="仿宋_GB2312" w:hAnsi="仿宋_GB2312" w:eastAsia="仿宋_GB2312" w:cs="仿宋_GB2312"/>
          <w:bCs w:val="0"/>
          <w:color w:val="auto"/>
          <w:kern w:val="2"/>
          <w:sz w:val="32"/>
          <w:szCs w:val="32"/>
          <w:lang w:val="en-US" w:eastAsia="zh-CN" w:bidi="ar-SA"/>
        </w:rPr>
        <w:t>、</w:t>
      </w:r>
      <w:r>
        <w:rPr>
          <w:rFonts w:hint="default" w:ascii="仿宋_GB2312" w:hAnsi="仿宋_GB2312" w:eastAsia="仿宋_GB2312" w:cs="仿宋_GB2312"/>
          <w:bCs w:val="0"/>
          <w:color w:val="auto"/>
          <w:kern w:val="2"/>
          <w:sz w:val="32"/>
          <w:szCs w:val="32"/>
          <w:lang w:val="en-US" w:eastAsia="zh-CN" w:bidi="ar-SA"/>
        </w:rPr>
        <w:t>合作社、镇（街）村等</w:t>
      </w:r>
      <w:r>
        <w:rPr>
          <w:rFonts w:hint="eastAsia" w:ascii="仿宋_GB2312" w:hAnsi="仿宋_GB2312" w:eastAsia="仿宋_GB2312" w:cs="仿宋_GB2312"/>
          <w:bCs w:val="0"/>
          <w:color w:val="auto"/>
          <w:kern w:val="2"/>
          <w:sz w:val="32"/>
          <w:szCs w:val="32"/>
          <w:lang w:val="en-US" w:eastAsia="zh-CN" w:bidi="ar-SA"/>
        </w:rPr>
        <w:t>农业</w:t>
      </w:r>
      <w:r>
        <w:rPr>
          <w:rFonts w:hint="default" w:ascii="仿宋_GB2312" w:hAnsi="仿宋_GB2312" w:eastAsia="仿宋_GB2312" w:cs="仿宋_GB2312"/>
          <w:bCs w:val="0"/>
          <w:color w:val="auto"/>
          <w:kern w:val="2"/>
          <w:sz w:val="32"/>
          <w:szCs w:val="32"/>
          <w:lang w:val="en-US" w:eastAsia="zh-CN" w:bidi="ar-SA"/>
        </w:rPr>
        <w:t>生产经营者。其中</w:t>
      </w:r>
      <w:r>
        <w:rPr>
          <w:rFonts w:hint="eastAsia" w:ascii="仿宋_GB2312" w:hAnsi="仿宋_GB2312" w:eastAsia="仿宋_GB2312" w:cs="仿宋_GB2312"/>
          <w:bCs w:val="0"/>
          <w:color w:val="auto"/>
          <w:kern w:val="2"/>
          <w:sz w:val="32"/>
          <w:szCs w:val="32"/>
          <w:lang w:val="en-US" w:eastAsia="zh-CN" w:bidi="ar-SA"/>
        </w:rPr>
        <w:t>，</w:t>
      </w:r>
      <w:r>
        <w:rPr>
          <w:rFonts w:hint="default" w:ascii="仿宋_GB2312" w:hAnsi="仿宋_GB2312" w:eastAsia="仿宋_GB2312" w:cs="仿宋_GB2312"/>
          <w:bCs w:val="0"/>
          <w:color w:val="auto"/>
          <w:kern w:val="2"/>
          <w:sz w:val="32"/>
          <w:szCs w:val="32"/>
          <w:lang w:val="en-US" w:eastAsia="zh-CN" w:bidi="ar-SA"/>
        </w:rPr>
        <w:t>种养场所、种养品种应符合法律、法规、规章、规范性文件及行业规范有关规定</w:t>
      </w:r>
      <w:r>
        <w:rPr>
          <w:rFonts w:hint="eastAsia" w:ascii="仿宋_GB2312" w:hAnsi="仿宋_GB2312" w:eastAsia="仿宋_GB2312" w:cs="仿宋_GB2312"/>
          <w:bCs w:val="0"/>
          <w:color w:val="auto"/>
          <w:kern w:val="2"/>
          <w:sz w:val="32"/>
          <w:szCs w:val="32"/>
          <w:lang w:val="en-US" w:eastAsia="zh-CN" w:bidi="ar-SA"/>
        </w:rPr>
        <w:t>；</w:t>
      </w:r>
      <w:r>
        <w:rPr>
          <w:rFonts w:hint="default" w:ascii="仿宋_GB2312" w:hAnsi="仿宋_GB2312" w:eastAsia="仿宋_GB2312" w:cs="仿宋_GB2312"/>
          <w:bCs w:val="0"/>
          <w:color w:val="auto"/>
          <w:kern w:val="2"/>
          <w:sz w:val="32"/>
          <w:szCs w:val="32"/>
          <w:lang w:val="en-US" w:eastAsia="zh-CN" w:bidi="ar-SA"/>
        </w:rPr>
        <w:t>养殖废弃物排放应符合环保要求</w:t>
      </w:r>
      <w:r>
        <w:rPr>
          <w:rFonts w:hint="eastAsia" w:ascii="仿宋_GB2312" w:hAnsi="仿宋_GB2312" w:eastAsia="仿宋_GB2312" w:cs="仿宋_GB2312"/>
          <w:bCs w:val="0"/>
          <w:color w:val="auto"/>
          <w:kern w:val="2"/>
          <w:sz w:val="32"/>
          <w:szCs w:val="32"/>
          <w:lang w:val="en-US" w:eastAsia="zh-CN" w:bidi="ar-SA"/>
        </w:rPr>
        <w:t>；</w:t>
      </w:r>
      <w:r>
        <w:rPr>
          <w:rFonts w:hint="default" w:ascii="仿宋_GB2312" w:hAnsi="仿宋_GB2312" w:eastAsia="仿宋_GB2312" w:cs="仿宋_GB2312"/>
          <w:bCs w:val="0"/>
          <w:color w:val="auto"/>
          <w:kern w:val="2"/>
          <w:sz w:val="32"/>
          <w:szCs w:val="32"/>
          <w:lang w:val="en-US" w:eastAsia="zh-CN" w:bidi="ar-SA"/>
        </w:rPr>
        <w:t>养殖类品种需按照强制免疫程序进行预防接种</w:t>
      </w:r>
      <w:r>
        <w:rPr>
          <w:rFonts w:hint="eastAsia" w:ascii="仿宋_GB2312" w:hAnsi="仿宋_GB2312" w:eastAsia="仿宋_GB2312" w:cs="仿宋_GB2312"/>
          <w:bCs w:val="0"/>
          <w:color w:val="auto"/>
          <w:kern w:val="2"/>
          <w:sz w:val="32"/>
          <w:szCs w:val="32"/>
          <w:lang w:val="en-US" w:eastAsia="zh-CN" w:bidi="ar-SA"/>
        </w:rPr>
        <w:t>；</w:t>
      </w:r>
      <w:r>
        <w:rPr>
          <w:rFonts w:hint="default" w:ascii="仿宋_GB2312" w:hAnsi="仿宋_GB2312" w:eastAsia="仿宋_GB2312" w:cs="仿宋_GB2312"/>
          <w:bCs w:val="0"/>
          <w:color w:val="auto"/>
          <w:kern w:val="2"/>
          <w:sz w:val="32"/>
          <w:szCs w:val="32"/>
          <w:lang w:val="en-US" w:eastAsia="zh-CN" w:bidi="ar-SA"/>
        </w:rPr>
        <w:t>能繁母猪、牛等大牲畜应佩戴国家规定的畜禽标识。参保的养殖户、企业、农场必须全场投保，不得选择性投保。</w:t>
      </w:r>
    </w:p>
    <w:p>
      <w:pPr>
        <w:pStyle w:val="4"/>
        <w:adjustRightInd/>
        <w:snapToGrid/>
        <w:spacing w:line="560" w:lineRule="exact"/>
        <w:ind w:left="0" w:leftChars="0" w:firstLine="640" w:firstLineChars="200"/>
        <w:outlineLvl w:val="9"/>
        <w:rPr>
          <w:rFonts w:hint="default" w:ascii="仿宋_GB2312" w:hAnsi="仿宋_GB2312" w:eastAsia="仿宋_GB2312" w:cs="仿宋_GB2312"/>
          <w:snapToGrid/>
          <w:color w:val="auto"/>
          <w:kern w:val="2"/>
          <w:sz w:val="32"/>
          <w:szCs w:val="32"/>
        </w:rPr>
      </w:pPr>
      <w:r>
        <w:rPr>
          <w:rFonts w:hint="default" w:ascii="仿宋_GB2312" w:hAnsi="仿宋_GB2312" w:eastAsia="仿宋_GB2312" w:cs="仿宋_GB2312"/>
          <w:snapToGrid/>
          <w:color w:val="auto"/>
          <w:kern w:val="2"/>
          <w:sz w:val="32"/>
          <w:szCs w:val="32"/>
        </w:rPr>
        <w:t>（五）保险期限。</w:t>
      </w:r>
    </w:p>
    <w:p>
      <w:pPr>
        <w:pStyle w:val="4"/>
        <w:adjustRightInd/>
        <w:snapToGrid/>
        <w:spacing w:line="560" w:lineRule="exact"/>
        <w:ind w:left="0" w:leftChars="0" w:firstLine="640" w:firstLineChars="200"/>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1.水稻、水稻制种、玉米、花生、马铃薯、甘蔗、大豆以一个生长期作为一个投保周期。</w:t>
      </w:r>
    </w:p>
    <w:p>
      <w:pPr>
        <w:pStyle w:val="4"/>
        <w:adjustRightInd/>
        <w:snapToGrid/>
        <w:spacing w:line="560" w:lineRule="exact"/>
        <w:ind w:left="0" w:leftChars="0" w:firstLine="640" w:firstLineChars="200"/>
        <w:outlineLvl w:val="9"/>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2.能繁母猪、奶牛以一年作为一个投保周期；生猪(含育肥猪、仔猪)以一批次或一年作为一个投保周期。</w:t>
      </w:r>
    </w:p>
    <w:p>
      <w:pPr>
        <w:pStyle w:val="4"/>
        <w:adjustRightInd/>
        <w:snapToGrid/>
        <w:spacing w:line="560" w:lineRule="exact"/>
        <w:ind w:left="0" w:leftChars="0" w:firstLine="640" w:firstLineChars="200"/>
        <w:outlineLvl w:val="9"/>
        <w:rPr>
          <w:rFonts w:hint="default"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rPr>
        <w:t>3.</w:t>
      </w:r>
      <w:r>
        <w:rPr>
          <w:rFonts w:hint="default" w:ascii="仿宋_GB2312" w:hAnsi="仿宋_GB2312" w:eastAsia="仿宋_GB2312" w:cs="仿宋_GB2312"/>
          <w:bCs w:val="0"/>
          <w:color w:val="auto"/>
          <w:kern w:val="2"/>
          <w:sz w:val="32"/>
          <w:szCs w:val="32"/>
          <w:lang w:val="en-US" w:eastAsia="zh-CN" w:bidi="ar-SA"/>
        </w:rPr>
        <w:t>种植大棚以一年作为一个投保周期</w:t>
      </w:r>
      <w:r>
        <w:rPr>
          <w:rFonts w:hint="eastAsia" w:ascii="仿宋_GB2312" w:hAnsi="仿宋_GB2312" w:eastAsia="仿宋_GB2312" w:cs="仿宋_GB2312"/>
          <w:bCs w:val="0"/>
          <w:color w:val="auto"/>
          <w:kern w:val="2"/>
          <w:sz w:val="32"/>
          <w:szCs w:val="32"/>
          <w:lang w:val="en-US" w:eastAsia="zh-CN" w:bidi="ar-SA"/>
        </w:rPr>
        <w:t>；</w:t>
      </w:r>
      <w:r>
        <w:rPr>
          <w:rFonts w:hint="default" w:ascii="仿宋_GB2312" w:hAnsi="仿宋_GB2312" w:eastAsia="仿宋_GB2312" w:cs="仿宋_GB2312"/>
          <w:bCs w:val="0"/>
          <w:color w:val="auto"/>
          <w:kern w:val="2"/>
          <w:sz w:val="32"/>
          <w:szCs w:val="32"/>
          <w:lang w:val="en-US" w:eastAsia="zh-CN" w:bidi="ar-SA"/>
        </w:rPr>
        <w:t>蔬菜、花卉苗木</w:t>
      </w:r>
      <w:r>
        <w:rPr>
          <w:rFonts w:hint="eastAsia" w:ascii="仿宋_GB2312" w:hAnsi="仿宋_GB2312" w:eastAsia="仿宋_GB2312" w:cs="仿宋_GB2312"/>
          <w:bCs w:val="0"/>
          <w:color w:val="auto"/>
          <w:kern w:val="2"/>
          <w:sz w:val="32"/>
          <w:szCs w:val="32"/>
          <w:lang w:val="en-US" w:eastAsia="zh-CN" w:bidi="ar-SA"/>
        </w:rPr>
        <w:t>（盆栽）</w:t>
      </w:r>
      <w:r>
        <w:rPr>
          <w:rFonts w:hint="default" w:ascii="仿宋_GB2312" w:hAnsi="仿宋_GB2312" w:eastAsia="仿宋_GB2312" w:cs="仿宋_GB2312"/>
          <w:bCs w:val="0"/>
          <w:color w:val="auto"/>
          <w:kern w:val="2"/>
          <w:sz w:val="32"/>
          <w:szCs w:val="32"/>
          <w:lang w:val="en-US" w:eastAsia="zh-CN" w:bidi="ar-SA"/>
        </w:rPr>
        <w:t>、茶叶、岭南水果以一茬或一年作为一个投保周期。</w:t>
      </w:r>
    </w:p>
    <w:p>
      <w:pPr>
        <w:pStyle w:val="4"/>
        <w:numPr>
          <w:ilvl w:val="-1"/>
          <w:numId w:val="0"/>
        </w:numPr>
        <w:adjustRightInd/>
        <w:snapToGrid/>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highlight w:val="yellow"/>
          <w:lang w:val="en-US" w:eastAsia="zh-CN" w:bidi="ar-SA"/>
        </w:rPr>
      </w:pPr>
      <w:r>
        <w:rPr>
          <w:rFonts w:hint="eastAsia" w:ascii="仿宋_GB2312" w:hAnsi="仿宋_GB2312" w:eastAsia="仿宋_GB2312" w:cs="仿宋_GB2312"/>
          <w:bCs w:val="0"/>
          <w:color w:val="auto"/>
          <w:kern w:val="2"/>
          <w:sz w:val="32"/>
          <w:szCs w:val="32"/>
          <w:lang w:val="en-US" w:eastAsia="zh-CN" w:bidi="ar-SA"/>
        </w:rPr>
        <w:t>4.</w:t>
      </w:r>
      <w:r>
        <w:rPr>
          <w:rFonts w:hint="default" w:ascii="仿宋_GB2312" w:hAnsi="仿宋_GB2312" w:eastAsia="仿宋_GB2312" w:cs="仿宋_GB2312"/>
          <w:bCs w:val="0"/>
          <w:color w:val="auto"/>
          <w:kern w:val="2"/>
          <w:sz w:val="32"/>
          <w:szCs w:val="32"/>
          <w:lang w:val="en-US" w:eastAsia="zh-CN" w:bidi="ar-SA"/>
        </w:rPr>
        <w:t>肉鸡、肉鸭、水产养殖</w:t>
      </w:r>
      <w:r>
        <w:rPr>
          <w:rFonts w:hint="eastAsia" w:ascii="仿宋_GB2312" w:hAnsi="仿宋_GB2312" w:eastAsia="仿宋_GB2312" w:cs="仿宋_GB2312"/>
          <w:bCs w:val="0"/>
          <w:color w:val="auto"/>
          <w:kern w:val="2"/>
          <w:sz w:val="32"/>
          <w:szCs w:val="32"/>
          <w:lang w:val="en-US" w:eastAsia="zh-CN" w:bidi="ar-SA"/>
        </w:rPr>
        <w:t>（含淡水、咸淡水）</w:t>
      </w:r>
      <w:r>
        <w:rPr>
          <w:rFonts w:hint="default" w:ascii="仿宋_GB2312" w:hAnsi="仿宋_GB2312" w:eastAsia="仿宋_GB2312" w:cs="仿宋_GB2312"/>
          <w:bCs w:val="0"/>
          <w:color w:val="auto"/>
          <w:kern w:val="2"/>
          <w:sz w:val="32"/>
          <w:szCs w:val="32"/>
          <w:lang w:val="en-US" w:eastAsia="zh-CN" w:bidi="ar-SA"/>
        </w:rPr>
        <w:t>以一批次</w:t>
      </w:r>
      <w:r>
        <w:rPr>
          <w:rFonts w:hint="eastAsia" w:ascii="仿宋_GB2312" w:hAnsi="仿宋_GB2312" w:eastAsia="仿宋_GB2312" w:cs="仿宋_GB2312"/>
          <w:bCs w:val="0"/>
          <w:color w:val="auto"/>
          <w:kern w:val="2"/>
          <w:sz w:val="32"/>
          <w:szCs w:val="32"/>
          <w:lang w:val="en-US" w:eastAsia="zh-CN" w:bidi="ar-SA"/>
        </w:rPr>
        <w:t>或一年</w:t>
      </w:r>
      <w:r>
        <w:rPr>
          <w:rFonts w:hint="default" w:ascii="仿宋_GB2312" w:hAnsi="仿宋_GB2312" w:eastAsia="仿宋_GB2312" w:cs="仿宋_GB2312"/>
          <w:bCs w:val="0"/>
          <w:color w:val="auto"/>
          <w:kern w:val="2"/>
          <w:sz w:val="32"/>
          <w:szCs w:val="32"/>
          <w:lang w:val="en-US" w:eastAsia="zh-CN" w:bidi="ar-SA"/>
        </w:rPr>
        <w:t>作为一个投保周期，蛋鸡、现代化海洋牧场养殖以一年作为一个投保周期。</w:t>
      </w:r>
    </w:p>
    <w:p>
      <w:pPr>
        <w:pStyle w:val="4"/>
        <w:adjustRightInd/>
        <w:snapToGrid/>
        <w:spacing w:line="560" w:lineRule="exact"/>
        <w:ind w:left="0" w:leftChars="0" w:firstLine="640" w:firstLineChars="200"/>
        <w:outlineLvl w:val="9"/>
        <w:rPr>
          <w:rFonts w:hint="default" w:ascii="仿宋_GB2312" w:hAnsi="仿宋_GB2312" w:eastAsia="仿宋_GB2312" w:cs="仿宋_GB2312"/>
          <w:bCs w:val="0"/>
          <w:color w:val="auto"/>
          <w:kern w:val="2"/>
          <w:sz w:val="32"/>
          <w:szCs w:val="32"/>
          <w:lang w:val="en-US" w:eastAsia="zh-CN" w:bidi="ar-SA"/>
        </w:rPr>
      </w:pPr>
      <w:r>
        <w:rPr>
          <w:rFonts w:hint="default" w:ascii="仿宋_GB2312" w:hAnsi="仿宋_GB2312" w:eastAsia="仿宋_GB2312" w:cs="仿宋_GB2312"/>
          <w:bCs w:val="0"/>
          <w:color w:val="auto"/>
          <w:kern w:val="2"/>
          <w:sz w:val="32"/>
          <w:szCs w:val="32"/>
          <w:lang w:val="en-US" w:eastAsia="zh-CN" w:bidi="ar-SA"/>
        </w:rPr>
        <w:t>（六）保险责任。</w:t>
      </w:r>
    </w:p>
    <w:p>
      <w:pPr>
        <w:pStyle w:val="4"/>
        <w:adjustRightInd/>
        <w:snapToGrid/>
        <w:spacing w:line="560" w:lineRule="exact"/>
        <w:ind w:left="0" w:leftChars="0" w:firstLine="640" w:firstLineChars="200"/>
        <w:outlineLvl w:val="9"/>
        <w:rPr>
          <w:rFonts w:hint="default" w:ascii="仿宋_GB2312" w:hAnsi="仿宋_GB2312" w:eastAsia="仿宋_GB2312" w:cs="仿宋_GB2312"/>
          <w:bCs w:val="0"/>
          <w:color w:val="auto"/>
          <w:kern w:val="2"/>
          <w:sz w:val="32"/>
          <w:szCs w:val="32"/>
          <w:lang w:val="en-US" w:eastAsia="zh-CN" w:bidi="ar-SA"/>
        </w:rPr>
      </w:pPr>
      <w:r>
        <w:rPr>
          <w:rFonts w:hint="default" w:ascii="仿宋_GB2312" w:hAnsi="仿宋_GB2312" w:eastAsia="仿宋_GB2312" w:cs="仿宋_GB2312"/>
          <w:bCs w:val="0"/>
          <w:color w:val="auto"/>
          <w:kern w:val="2"/>
          <w:sz w:val="32"/>
          <w:szCs w:val="32"/>
          <w:lang w:val="en-US" w:eastAsia="zh-CN" w:bidi="ar-SA"/>
        </w:rPr>
        <w:t>1.种植类：由于暴雨、洪水（政府行蓄洪除外）、内涝、风灾（包括暴风、龙卷风、台风等）</w:t>
      </w:r>
      <w:r>
        <w:rPr>
          <w:rFonts w:hint="eastAsia" w:ascii="仿宋_GB2312" w:hAnsi="仿宋_GB2312" w:eastAsia="仿宋_GB2312" w:cs="仿宋_GB2312"/>
          <w:bCs w:val="0"/>
          <w:color w:val="auto"/>
          <w:kern w:val="2"/>
          <w:sz w:val="32"/>
          <w:szCs w:val="32"/>
          <w:lang w:val="en-US" w:eastAsia="zh-CN" w:bidi="ar-SA"/>
        </w:rPr>
        <w:t>、</w:t>
      </w:r>
      <w:r>
        <w:rPr>
          <w:rFonts w:hint="default" w:ascii="仿宋_GB2312" w:hAnsi="仿宋_GB2312" w:eastAsia="仿宋_GB2312" w:cs="仿宋_GB2312"/>
          <w:bCs w:val="0"/>
          <w:color w:val="auto"/>
          <w:kern w:val="2"/>
          <w:sz w:val="32"/>
          <w:szCs w:val="32"/>
          <w:lang w:val="en-US" w:eastAsia="zh-CN" w:bidi="ar-SA"/>
        </w:rPr>
        <w:t>热带气旋、雹灾、冻灾、</w:t>
      </w:r>
      <w:r>
        <w:rPr>
          <w:rFonts w:hint="eastAsia" w:ascii="仿宋_GB2312" w:hAnsi="仿宋_GB2312" w:eastAsia="仿宋_GB2312" w:cs="仿宋_GB2312"/>
          <w:bCs w:val="0"/>
          <w:color w:val="auto"/>
          <w:kern w:val="2"/>
          <w:sz w:val="32"/>
          <w:szCs w:val="32"/>
          <w:lang w:val="en-US" w:eastAsia="zh-CN" w:bidi="ar-SA"/>
        </w:rPr>
        <w:t>低温寒害</w:t>
      </w:r>
      <w:r>
        <w:rPr>
          <w:rFonts w:hint="default" w:ascii="仿宋_GB2312" w:hAnsi="仿宋_GB2312" w:eastAsia="仿宋_GB2312" w:cs="仿宋_GB2312"/>
          <w:bCs w:val="0"/>
          <w:color w:val="auto"/>
          <w:kern w:val="2"/>
          <w:sz w:val="32"/>
          <w:szCs w:val="32"/>
          <w:lang w:val="en-US" w:eastAsia="zh-CN" w:bidi="ar-SA"/>
        </w:rPr>
        <w:t>、火灾、旱灾、雷击、地震、爆炸、泥石流、突发性滑坡、崖崩、建筑物倒塌、空中运行物体坠落、病虫草鼠害、野生动物毁损等原因直接造成保险标的损失，且损失率达到</w:t>
      </w:r>
      <w:r>
        <w:rPr>
          <w:rFonts w:hint="eastAsia" w:ascii="仿宋_GB2312" w:hAnsi="仿宋_GB2312" w:eastAsia="仿宋_GB2312" w:cs="仿宋_GB2312"/>
          <w:bCs w:val="0"/>
          <w:color w:val="auto"/>
          <w:kern w:val="2"/>
          <w:sz w:val="32"/>
          <w:szCs w:val="32"/>
          <w:lang w:val="en-US" w:eastAsia="zh-CN" w:bidi="ar-SA"/>
        </w:rPr>
        <w:t>15</w:t>
      </w:r>
      <w:r>
        <w:rPr>
          <w:rFonts w:hint="default" w:ascii="仿宋_GB2312" w:hAnsi="仿宋_GB2312" w:eastAsia="仿宋_GB2312" w:cs="仿宋_GB2312"/>
          <w:bCs w:val="0"/>
          <w:color w:val="auto"/>
          <w:kern w:val="2"/>
          <w:sz w:val="32"/>
          <w:szCs w:val="32"/>
          <w:lang w:val="en-US" w:eastAsia="zh-CN" w:bidi="ar-SA"/>
        </w:rPr>
        <w:t>%（含）以上的，保险人按照保险合同的约定负责赔偿。</w:t>
      </w:r>
      <w:r>
        <w:rPr>
          <w:rFonts w:hint="eastAsia" w:ascii="仿宋_GB2312" w:hAnsi="仿宋_GB2312" w:eastAsia="仿宋_GB2312" w:cs="仿宋_GB2312"/>
          <w:bCs w:val="0"/>
          <w:color w:val="auto"/>
          <w:kern w:val="2"/>
          <w:sz w:val="32"/>
          <w:szCs w:val="32"/>
          <w:lang w:val="en-US" w:eastAsia="zh-CN" w:bidi="ar-SA"/>
        </w:rPr>
        <w:t>蔬菜可选择气象指数赔付。</w:t>
      </w:r>
    </w:p>
    <w:p>
      <w:pPr>
        <w:pStyle w:val="4"/>
        <w:adjustRightInd/>
        <w:snapToGrid/>
        <w:spacing w:line="560" w:lineRule="exact"/>
        <w:ind w:left="0" w:leftChars="0" w:firstLine="640" w:firstLineChars="200"/>
        <w:outlineLvl w:val="9"/>
        <w:rPr>
          <w:rFonts w:hint="default"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2</w:t>
      </w:r>
      <w:r>
        <w:rPr>
          <w:rFonts w:hint="default" w:ascii="仿宋_GB2312" w:hAnsi="仿宋_GB2312" w:eastAsia="仿宋_GB2312" w:cs="仿宋_GB2312"/>
          <w:bCs w:val="0"/>
          <w:color w:val="auto"/>
          <w:kern w:val="2"/>
          <w:sz w:val="32"/>
          <w:szCs w:val="32"/>
          <w:lang w:val="en-US" w:eastAsia="zh-CN" w:bidi="ar-SA"/>
        </w:rPr>
        <w:t>.养殖类（不含</w:t>
      </w:r>
      <w:r>
        <w:rPr>
          <w:rFonts w:hint="eastAsia" w:ascii="仿宋_GB2312" w:hAnsi="仿宋_GB2312" w:eastAsia="仿宋_GB2312" w:cs="仿宋_GB2312"/>
          <w:bCs w:val="0"/>
          <w:color w:val="auto"/>
          <w:kern w:val="2"/>
          <w:sz w:val="32"/>
          <w:szCs w:val="32"/>
          <w:lang w:val="en-US" w:eastAsia="zh-CN" w:bidi="ar-SA"/>
        </w:rPr>
        <w:t>水产</w:t>
      </w:r>
      <w:r>
        <w:rPr>
          <w:rFonts w:hint="default" w:ascii="仿宋_GB2312" w:hAnsi="仿宋_GB2312" w:eastAsia="仿宋_GB2312" w:cs="仿宋_GB2312"/>
          <w:bCs w:val="0"/>
          <w:color w:val="auto"/>
          <w:kern w:val="2"/>
          <w:sz w:val="32"/>
          <w:szCs w:val="32"/>
          <w:lang w:val="en-US" w:eastAsia="zh-CN" w:bidi="ar-SA"/>
        </w:rPr>
        <w:t>养殖险</w:t>
      </w:r>
      <w:r>
        <w:rPr>
          <w:rFonts w:hint="eastAsia" w:ascii="仿宋_GB2312" w:hAnsi="仿宋_GB2312" w:eastAsia="仿宋_GB2312" w:cs="仿宋_GB2312"/>
          <w:bCs w:val="0"/>
          <w:color w:val="auto"/>
          <w:kern w:val="2"/>
          <w:sz w:val="32"/>
          <w:szCs w:val="32"/>
          <w:lang w:val="en-US" w:eastAsia="zh-CN" w:bidi="ar-SA"/>
        </w:rPr>
        <w:t>、现代化海洋牧场养殖险</w:t>
      </w:r>
      <w:r>
        <w:rPr>
          <w:rFonts w:hint="default" w:ascii="仿宋_GB2312" w:hAnsi="仿宋_GB2312" w:eastAsia="仿宋_GB2312" w:cs="仿宋_GB2312"/>
          <w:bCs w:val="0"/>
          <w:color w:val="auto"/>
          <w:kern w:val="2"/>
          <w:sz w:val="32"/>
          <w:szCs w:val="32"/>
          <w:lang w:val="en-US" w:eastAsia="zh-CN" w:bidi="ar-SA"/>
        </w:rPr>
        <w:t>）：（1）由于疫病、疾病、火灾、爆炸、暴雨、洪水（政府行蓄洪除外）、内涝</w:t>
      </w:r>
      <w:r>
        <w:rPr>
          <w:rFonts w:hint="eastAsia" w:ascii="仿宋_GB2312" w:hAnsi="仿宋_GB2312" w:eastAsia="仿宋_GB2312" w:cs="仿宋_GB2312"/>
          <w:bCs w:val="0"/>
          <w:color w:val="auto"/>
          <w:kern w:val="2"/>
          <w:sz w:val="32"/>
          <w:szCs w:val="32"/>
          <w:lang w:val="en-US" w:eastAsia="zh-CN" w:bidi="ar-SA"/>
        </w:rPr>
        <w:t>、旱灾、</w:t>
      </w:r>
      <w:r>
        <w:rPr>
          <w:rFonts w:hint="default" w:ascii="仿宋_GB2312" w:hAnsi="仿宋_GB2312" w:eastAsia="仿宋_GB2312" w:cs="仿宋_GB2312"/>
          <w:bCs w:val="0"/>
          <w:color w:val="auto"/>
          <w:kern w:val="2"/>
          <w:sz w:val="32"/>
          <w:szCs w:val="32"/>
          <w:lang w:val="en-US" w:eastAsia="zh-CN" w:bidi="ar-SA"/>
        </w:rPr>
        <w:t>风灾、雷击、</w:t>
      </w:r>
      <w:r>
        <w:rPr>
          <w:rFonts w:hint="default" w:ascii="仿宋_GB2312" w:hAnsi="仿宋_GB2312" w:eastAsia="仿宋_GB2312" w:cs="仿宋_GB2312"/>
          <w:b w:val="0"/>
          <w:bCs w:val="0"/>
          <w:color w:val="auto"/>
          <w:kern w:val="2"/>
          <w:sz w:val="32"/>
          <w:szCs w:val="32"/>
          <w:lang w:val="en-US" w:eastAsia="zh-CN" w:bidi="ar-SA"/>
        </w:rPr>
        <w:t>高温、</w:t>
      </w:r>
      <w:r>
        <w:rPr>
          <w:rFonts w:hint="default" w:ascii="仿宋_GB2312" w:hAnsi="仿宋_GB2312" w:eastAsia="仿宋_GB2312" w:cs="仿宋_GB2312"/>
          <w:bCs w:val="0"/>
          <w:color w:val="auto"/>
          <w:kern w:val="2"/>
          <w:sz w:val="32"/>
          <w:szCs w:val="32"/>
          <w:lang w:val="en-US" w:eastAsia="zh-CN" w:bidi="ar-SA"/>
        </w:rPr>
        <w:t>地震、雹灾、冻灾、突发性滑坡、崖崩、泥石流、建筑物倒塌、空中运行物体坠落等原因直接造成保险母猪、生猪（含仔猪、育肥猪）、奶牛死亡，保险人按照保险合同约定负责赔偿。以上责任造成保险家禽（肉鸡、肉鸭、蛋鸡）死亡，且连续七日内死亡总量达到单批次养殖总量</w:t>
      </w:r>
      <w:r>
        <w:rPr>
          <w:rFonts w:hint="eastAsia" w:ascii="仿宋_GB2312" w:hAnsi="仿宋_GB2312" w:eastAsia="仿宋_GB2312" w:cs="仿宋_GB2312"/>
          <w:bCs w:val="0"/>
          <w:color w:val="auto"/>
          <w:kern w:val="2"/>
          <w:sz w:val="32"/>
          <w:szCs w:val="32"/>
          <w:lang w:val="en-US" w:eastAsia="zh-CN" w:bidi="ar-SA"/>
        </w:rPr>
        <w:t>1</w:t>
      </w:r>
      <w:r>
        <w:rPr>
          <w:rFonts w:hint="default" w:ascii="仿宋_GB2312" w:hAnsi="仿宋_GB2312" w:eastAsia="仿宋_GB2312" w:cs="仿宋_GB2312"/>
          <w:bCs w:val="0"/>
          <w:color w:val="auto"/>
          <w:kern w:val="2"/>
          <w:sz w:val="32"/>
          <w:szCs w:val="32"/>
          <w:lang w:val="en-US" w:eastAsia="zh-CN" w:bidi="ar-SA"/>
        </w:rPr>
        <w:t>%（含）或单日内死亡总量达到单批次养殖总量</w:t>
      </w:r>
      <w:r>
        <w:rPr>
          <w:rFonts w:hint="eastAsia" w:ascii="仿宋_GB2312" w:hAnsi="仿宋_GB2312" w:eastAsia="仿宋_GB2312" w:cs="仿宋_GB2312"/>
          <w:bCs w:val="0"/>
          <w:color w:val="auto"/>
          <w:kern w:val="2"/>
          <w:sz w:val="32"/>
          <w:szCs w:val="32"/>
          <w:lang w:val="en-US" w:eastAsia="zh-CN" w:bidi="ar-SA"/>
        </w:rPr>
        <w:t>0.5%</w:t>
      </w:r>
      <w:r>
        <w:rPr>
          <w:rFonts w:hint="default" w:ascii="仿宋_GB2312" w:hAnsi="仿宋_GB2312" w:eastAsia="仿宋_GB2312" w:cs="仿宋_GB2312"/>
          <w:bCs w:val="0"/>
          <w:color w:val="auto"/>
          <w:kern w:val="2"/>
          <w:sz w:val="32"/>
          <w:szCs w:val="32"/>
          <w:lang w:val="en-US" w:eastAsia="zh-CN" w:bidi="ar-SA"/>
        </w:rPr>
        <w:t>（含）以上，保险人按照保险合同的约定负责赔偿。（2）由于发生高传染性疫病，政府实施强制扑杀导致保险标的死亡的，保险人也负责赔偿，但赔偿金额以保险金额扣减政府扑杀专项补贴金额的差额为限。（3）养殖险设定疾（疫）病观察期，其中能繁母猪</w:t>
      </w:r>
      <w:r>
        <w:rPr>
          <w:rFonts w:hint="eastAsia" w:ascii="仿宋_GB2312" w:hAnsi="仿宋_GB2312" w:eastAsia="仿宋_GB2312" w:cs="仿宋_GB2312"/>
          <w:bCs w:val="0"/>
          <w:color w:val="auto"/>
          <w:kern w:val="2"/>
          <w:sz w:val="32"/>
          <w:szCs w:val="32"/>
          <w:lang w:val="en-US" w:eastAsia="zh-CN" w:bidi="ar-SA"/>
        </w:rPr>
        <w:t>20</w:t>
      </w:r>
      <w:r>
        <w:rPr>
          <w:rFonts w:hint="default" w:ascii="仿宋_GB2312" w:hAnsi="仿宋_GB2312" w:eastAsia="仿宋_GB2312" w:cs="仿宋_GB2312"/>
          <w:bCs w:val="0"/>
          <w:color w:val="auto"/>
          <w:kern w:val="2"/>
          <w:sz w:val="32"/>
          <w:szCs w:val="32"/>
          <w:lang w:val="en-US" w:eastAsia="zh-CN" w:bidi="ar-SA"/>
        </w:rPr>
        <w:t>天、育肥猪</w:t>
      </w:r>
      <w:r>
        <w:rPr>
          <w:rFonts w:hint="eastAsia" w:ascii="仿宋_GB2312" w:hAnsi="仿宋_GB2312" w:eastAsia="仿宋_GB2312" w:cs="仿宋_GB2312"/>
          <w:bCs w:val="0"/>
          <w:color w:val="auto"/>
          <w:kern w:val="2"/>
          <w:sz w:val="32"/>
          <w:szCs w:val="32"/>
          <w:lang w:val="en-US" w:eastAsia="zh-CN" w:bidi="ar-SA"/>
        </w:rPr>
        <w:t>10</w:t>
      </w:r>
      <w:r>
        <w:rPr>
          <w:rFonts w:hint="default" w:ascii="仿宋_GB2312" w:hAnsi="仿宋_GB2312" w:eastAsia="仿宋_GB2312" w:cs="仿宋_GB2312"/>
          <w:bCs w:val="0"/>
          <w:color w:val="auto"/>
          <w:kern w:val="2"/>
          <w:sz w:val="32"/>
          <w:szCs w:val="32"/>
          <w:lang w:val="en-US" w:eastAsia="zh-CN" w:bidi="ar-SA"/>
        </w:rPr>
        <w:t>天</w:t>
      </w:r>
      <w:r>
        <w:rPr>
          <w:rFonts w:hint="eastAsia" w:ascii="仿宋_GB2312" w:hAnsi="仿宋_GB2312" w:eastAsia="仿宋_GB2312" w:cs="仿宋_GB2312"/>
          <w:bCs w:val="0"/>
          <w:color w:val="auto"/>
          <w:kern w:val="2"/>
          <w:sz w:val="32"/>
          <w:szCs w:val="32"/>
          <w:lang w:val="en-US" w:eastAsia="zh-CN" w:bidi="ar-SA"/>
        </w:rPr>
        <w:t>、</w:t>
      </w:r>
      <w:r>
        <w:rPr>
          <w:rFonts w:hint="default" w:ascii="仿宋_GB2312" w:hAnsi="仿宋_GB2312" w:eastAsia="仿宋_GB2312" w:cs="仿宋_GB2312"/>
          <w:bCs w:val="0"/>
          <w:color w:val="auto"/>
          <w:kern w:val="2"/>
          <w:sz w:val="32"/>
          <w:szCs w:val="32"/>
          <w:lang w:val="en-US" w:eastAsia="zh-CN" w:bidi="ar-SA"/>
        </w:rPr>
        <w:t>仔猪</w:t>
      </w:r>
      <w:r>
        <w:rPr>
          <w:rFonts w:hint="eastAsia" w:ascii="仿宋_GB2312" w:hAnsi="仿宋_GB2312" w:eastAsia="仿宋_GB2312" w:cs="仿宋_GB2312"/>
          <w:bCs w:val="0"/>
          <w:color w:val="auto"/>
          <w:kern w:val="2"/>
          <w:sz w:val="32"/>
          <w:szCs w:val="32"/>
          <w:lang w:val="en-US" w:eastAsia="zh-CN" w:bidi="ar-SA"/>
        </w:rPr>
        <w:t>3</w:t>
      </w:r>
      <w:r>
        <w:rPr>
          <w:rFonts w:hint="default" w:ascii="仿宋_GB2312" w:hAnsi="仿宋_GB2312" w:eastAsia="仿宋_GB2312" w:cs="仿宋_GB2312"/>
          <w:bCs w:val="0"/>
          <w:color w:val="auto"/>
          <w:kern w:val="2"/>
          <w:sz w:val="32"/>
          <w:szCs w:val="32"/>
          <w:lang w:val="en-US" w:eastAsia="zh-CN" w:bidi="ar-SA"/>
        </w:rPr>
        <w:t>天、奶牛10天，肉鸡7天、肉鸭5天、蛋鸡15天，保险期限届满续保的标的，免除观察期。在观察期内因保险责任中疾病、疫病所致的保险标的死亡，保险人不负责赔偿。</w:t>
      </w:r>
    </w:p>
    <w:p>
      <w:pPr>
        <w:adjustRightInd w:val="0"/>
        <w:snapToGrid w:val="0"/>
        <w:spacing w:line="560" w:lineRule="exact"/>
        <w:ind w:firstLine="640" w:firstLineChars="200"/>
        <w:rPr>
          <w:rFonts w:ascii="仿宋_GB2312" w:hAnsi="仿宋" w:eastAsia="仿宋_GB2312" w:cs="黑体"/>
          <w:color w:val="auto"/>
          <w:kern w:val="0"/>
          <w:sz w:val="32"/>
        </w:rPr>
      </w:pPr>
      <w:r>
        <w:rPr>
          <w:rFonts w:hint="eastAsia" w:ascii="仿宋_GB2312" w:hAnsi="仿宋_GB2312" w:eastAsia="仿宋_GB2312" w:cs="仿宋_GB2312"/>
          <w:bCs w:val="0"/>
          <w:color w:val="auto"/>
          <w:kern w:val="2"/>
          <w:sz w:val="32"/>
          <w:szCs w:val="32"/>
          <w:lang w:val="en-US" w:eastAsia="zh-CN" w:bidi="ar-SA"/>
        </w:rPr>
        <w:t>3</w:t>
      </w:r>
      <w:r>
        <w:rPr>
          <w:rFonts w:hint="default" w:ascii="仿宋_GB2312" w:hAnsi="仿宋_GB2312" w:eastAsia="仿宋_GB2312" w:cs="仿宋_GB2312"/>
          <w:bCs w:val="0"/>
          <w:color w:val="auto"/>
          <w:kern w:val="2"/>
          <w:sz w:val="32"/>
          <w:szCs w:val="32"/>
          <w:lang w:val="en-US" w:eastAsia="zh-CN" w:bidi="ar-SA"/>
        </w:rPr>
        <w:t>.</w:t>
      </w:r>
      <w:r>
        <w:rPr>
          <w:rFonts w:hint="eastAsia" w:ascii="仿宋_GB2312" w:hAnsi="仿宋_GB2312" w:eastAsia="仿宋_GB2312" w:cs="仿宋_GB2312"/>
          <w:bCs w:val="0"/>
          <w:color w:val="auto"/>
          <w:kern w:val="2"/>
          <w:sz w:val="32"/>
          <w:szCs w:val="32"/>
          <w:lang w:val="en-US" w:eastAsia="zh-CN" w:bidi="ar-SA"/>
        </w:rPr>
        <w:t>省级水产</w:t>
      </w:r>
      <w:r>
        <w:rPr>
          <w:rFonts w:hint="default" w:ascii="仿宋_GB2312" w:hAnsi="仿宋_GB2312" w:eastAsia="仿宋_GB2312" w:cs="仿宋_GB2312"/>
          <w:bCs w:val="0"/>
          <w:color w:val="auto"/>
          <w:kern w:val="2"/>
          <w:sz w:val="32"/>
          <w:szCs w:val="32"/>
          <w:lang w:val="en-US" w:eastAsia="zh-CN" w:bidi="ar-SA"/>
        </w:rPr>
        <w:t>养殖</w:t>
      </w:r>
      <w:r>
        <w:rPr>
          <w:rFonts w:hint="eastAsia" w:ascii="仿宋_GB2312" w:hAnsi="仿宋_GB2312" w:eastAsia="仿宋_GB2312" w:cs="仿宋_GB2312"/>
          <w:bCs w:val="0"/>
          <w:color w:val="auto"/>
          <w:kern w:val="2"/>
          <w:sz w:val="32"/>
          <w:szCs w:val="32"/>
          <w:lang w:val="en-US" w:eastAsia="zh-CN" w:bidi="ar-SA"/>
        </w:rPr>
        <w:t>险</w:t>
      </w:r>
      <w:r>
        <w:rPr>
          <w:rFonts w:hint="default" w:ascii="仿宋_GB2312" w:hAnsi="仿宋_GB2312" w:eastAsia="仿宋_GB2312" w:cs="仿宋_GB2312"/>
          <w:bCs w:val="0"/>
          <w:color w:val="auto"/>
          <w:kern w:val="2"/>
          <w:sz w:val="32"/>
          <w:szCs w:val="32"/>
          <w:lang w:val="en-US" w:eastAsia="zh-CN" w:bidi="ar-SA"/>
        </w:rPr>
        <w:t>：</w:t>
      </w:r>
      <w:r>
        <w:rPr>
          <w:rFonts w:hint="eastAsia" w:ascii="仿宋_GB2312" w:hAnsi="仿宋_GB2312" w:eastAsia="仿宋_GB2312" w:cs="仿宋_GB2312"/>
          <w:bCs w:val="0"/>
          <w:color w:val="auto"/>
          <w:kern w:val="2"/>
          <w:sz w:val="32"/>
          <w:szCs w:val="32"/>
          <w:lang w:val="en-US" w:eastAsia="zh-CN" w:bidi="ar-SA"/>
        </w:rPr>
        <w:t>（1）</w:t>
      </w:r>
      <w:r>
        <w:rPr>
          <w:rFonts w:hint="eastAsia" w:ascii="仿宋_GB2312" w:hAnsi="仿宋" w:eastAsia="仿宋_GB2312" w:cs="黑体"/>
          <w:color w:val="auto"/>
          <w:kern w:val="0"/>
          <w:sz w:val="32"/>
        </w:rPr>
        <w:t>在保险期间内，由于疾病、疫病</w:t>
      </w:r>
      <w:r>
        <w:rPr>
          <w:rFonts w:hint="eastAsia" w:ascii="仿宋_GB2312" w:hAnsi="仿宋" w:eastAsia="仿宋_GB2312" w:cs="黑体"/>
          <w:color w:val="auto"/>
          <w:kern w:val="0"/>
          <w:sz w:val="32"/>
          <w:lang w:eastAsia="zh-CN"/>
        </w:rPr>
        <w:t>、</w:t>
      </w:r>
      <w:r>
        <w:rPr>
          <w:rFonts w:hint="eastAsia" w:ascii="仿宋_GB2312" w:hAnsi="仿宋" w:eastAsia="仿宋_GB2312" w:cs="黑体"/>
          <w:color w:val="auto"/>
          <w:kern w:val="0"/>
          <w:sz w:val="32"/>
        </w:rPr>
        <w:t>高温、低温寒害、冻灾原因直接造成保险水产死亡，按照每口鱼塘保险水产养殖数量分别单独计算，且连续7天（含）内造成每口鱼塘死亡数量达到当批次保险水产养殖数量的40%（不含）以上的,保险人按照本保险合同的约定负责赔偿</w:t>
      </w:r>
      <w:r>
        <w:rPr>
          <w:rFonts w:hint="eastAsia" w:ascii="仿宋_GB2312" w:hAnsi="仿宋" w:eastAsia="仿宋_GB2312" w:cs="黑体"/>
          <w:color w:val="auto"/>
          <w:kern w:val="0"/>
          <w:sz w:val="32"/>
          <w:lang w:eastAsia="zh-CN"/>
        </w:rPr>
        <w:t>；（</w:t>
      </w:r>
      <w:r>
        <w:rPr>
          <w:rFonts w:hint="eastAsia" w:ascii="仿宋_GB2312" w:hAnsi="仿宋" w:eastAsia="仿宋_GB2312" w:cs="黑体"/>
          <w:color w:val="auto"/>
          <w:kern w:val="0"/>
          <w:sz w:val="32"/>
          <w:lang w:val="en-US" w:eastAsia="zh-CN"/>
        </w:rPr>
        <w:t>2</w:t>
      </w:r>
      <w:r>
        <w:rPr>
          <w:rFonts w:hint="eastAsia" w:ascii="仿宋_GB2312" w:hAnsi="仿宋" w:eastAsia="仿宋_GB2312" w:cs="黑体"/>
          <w:color w:val="auto"/>
          <w:kern w:val="0"/>
          <w:sz w:val="32"/>
          <w:lang w:eastAsia="zh-CN"/>
        </w:rPr>
        <w:t>）</w:t>
      </w:r>
      <w:r>
        <w:rPr>
          <w:rFonts w:hint="eastAsia" w:ascii="仿宋_GB2312" w:hAnsi="仿宋" w:eastAsia="仿宋_GB2312" w:cs="黑体"/>
          <w:color w:val="auto"/>
          <w:kern w:val="0"/>
          <w:sz w:val="32"/>
        </w:rPr>
        <w:t>在保险期间内，由于暴雨、洪水（政府行蓄洪除外）、风灾、雷击、地震</w:t>
      </w:r>
      <w:r>
        <w:rPr>
          <w:rFonts w:hint="eastAsia" w:ascii="仿宋_GB2312" w:hAnsi="仿宋" w:eastAsia="仿宋_GB2312" w:cs="黑体"/>
          <w:color w:val="auto"/>
          <w:kern w:val="0"/>
          <w:sz w:val="32"/>
          <w:lang w:eastAsia="zh-CN"/>
        </w:rPr>
        <w:t>、</w:t>
      </w:r>
      <w:r>
        <w:rPr>
          <w:rFonts w:hint="eastAsia" w:ascii="仿宋_GB2312" w:hAnsi="仿宋" w:eastAsia="仿宋_GB2312" w:cs="黑体"/>
          <w:color w:val="auto"/>
          <w:kern w:val="0"/>
          <w:sz w:val="32"/>
        </w:rPr>
        <w:t>泥石流、河堤溃堤</w:t>
      </w:r>
      <w:r>
        <w:rPr>
          <w:rFonts w:hint="eastAsia" w:ascii="仿宋_GB2312" w:hAnsi="仿宋" w:eastAsia="仿宋_GB2312" w:cs="黑体"/>
          <w:color w:val="auto"/>
          <w:kern w:val="0"/>
          <w:sz w:val="32"/>
          <w:lang w:eastAsia="zh-CN"/>
        </w:rPr>
        <w:t>原因</w:t>
      </w:r>
      <w:r>
        <w:rPr>
          <w:rFonts w:hint="eastAsia" w:ascii="仿宋_GB2312" w:hAnsi="仿宋" w:eastAsia="仿宋_GB2312" w:cs="黑体"/>
          <w:color w:val="auto"/>
          <w:kern w:val="0"/>
          <w:sz w:val="32"/>
        </w:rPr>
        <w:t>直接造成鱼塘漫堤、溃堤（溃口截面积＞</w:t>
      </w:r>
      <w:r>
        <w:rPr>
          <w:rFonts w:ascii="仿宋_GB2312" w:hAnsi="仿宋" w:eastAsia="仿宋_GB2312" w:cs="黑体"/>
          <w:color w:val="auto"/>
          <w:kern w:val="0"/>
          <w:sz w:val="32"/>
        </w:rPr>
        <w:t>0.5m</w:t>
      </w:r>
      <w:r>
        <w:rPr>
          <w:rFonts w:ascii="仿宋_GB2312" w:hAnsi="仿宋" w:eastAsia="仿宋_GB2312" w:cs="黑体"/>
          <w:color w:val="auto"/>
          <w:kern w:val="0"/>
          <w:sz w:val="32"/>
          <w:vertAlign w:val="superscript"/>
        </w:rPr>
        <w:t>2</w:t>
      </w:r>
      <w:r>
        <w:rPr>
          <w:rFonts w:hint="eastAsia" w:ascii="仿宋_GB2312" w:hAnsi="仿宋" w:eastAsia="仿宋_GB2312" w:cs="黑体"/>
          <w:color w:val="auto"/>
          <w:kern w:val="0"/>
          <w:sz w:val="32"/>
        </w:rPr>
        <w:t>）造成保险水产损失；或由于</w:t>
      </w:r>
      <w:r>
        <w:rPr>
          <w:rFonts w:hint="eastAsia" w:ascii="仿宋_GB2312" w:hAnsi="仿宋" w:eastAsia="仿宋_GB2312" w:cs="黑体"/>
          <w:color w:val="auto"/>
          <w:kern w:val="0"/>
          <w:sz w:val="32"/>
          <w:lang w:eastAsia="zh-CN"/>
        </w:rPr>
        <w:t>上述</w:t>
      </w:r>
      <w:r>
        <w:rPr>
          <w:rFonts w:hint="eastAsia" w:ascii="仿宋_GB2312" w:hAnsi="仿宋" w:eastAsia="仿宋_GB2312" w:cs="黑体"/>
          <w:color w:val="auto"/>
          <w:kern w:val="0"/>
          <w:sz w:val="32"/>
        </w:rPr>
        <w:t>原因导致停电（停电时长＞</w:t>
      </w:r>
      <w:r>
        <w:rPr>
          <w:rFonts w:ascii="仿宋_GB2312" w:hAnsi="仿宋" w:eastAsia="仿宋_GB2312" w:cs="黑体"/>
          <w:color w:val="auto"/>
          <w:kern w:val="0"/>
          <w:sz w:val="32"/>
        </w:rPr>
        <w:t>4h</w:t>
      </w:r>
      <w:r>
        <w:rPr>
          <w:rFonts w:hint="eastAsia" w:ascii="仿宋_GB2312" w:hAnsi="仿宋" w:eastAsia="仿宋_GB2312" w:cs="黑体"/>
          <w:color w:val="auto"/>
          <w:kern w:val="0"/>
          <w:sz w:val="32"/>
        </w:rPr>
        <w:t>）造成保险水产养殖鱼塘增氧机、水泵不工作发生缺氧造成保险水产损失的，根据漫堤、溃坝等级或停电时间，由保险人按照保险合同的约定负责赔偿</w:t>
      </w:r>
      <w:r>
        <w:rPr>
          <w:rFonts w:hint="eastAsia" w:ascii="仿宋_GB2312" w:hAnsi="仿宋" w:eastAsia="仿宋_GB2312" w:cs="黑体"/>
          <w:color w:val="auto"/>
          <w:kern w:val="0"/>
          <w:sz w:val="32"/>
          <w:lang w:eastAsia="zh-CN"/>
        </w:rPr>
        <w:t>（</w:t>
      </w:r>
      <w:r>
        <w:rPr>
          <w:rFonts w:hint="eastAsia" w:ascii="仿宋_GB2312" w:hAnsi="仿宋" w:eastAsia="仿宋_GB2312" w:cs="黑体"/>
          <w:color w:val="auto"/>
          <w:kern w:val="0"/>
          <w:sz w:val="32"/>
          <w:lang w:val="en-US" w:eastAsia="zh-CN"/>
        </w:rPr>
        <w:t>3</w:t>
      </w:r>
      <w:r>
        <w:rPr>
          <w:rFonts w:hint="eastAsia" w:ascii="仿宋_GB2312" w:hAnsi="仿宋" w:eastAsia="仿宋_GB2312" w:cs="黑体"/>
          <w:color w:val="auto"/>
          <w:kern w:val="0"/>
          <w:sz w:val="32"/>
          <w:lang w:eastAsia="zh-CN"/>
        </w:rPr>
        <w:t>）</w:t>
      </w:r>
      <w:r>
        <w:rPr>
          <w:rFonts w:hint="eastAsia" w:ascii="仿宋_GB2312" w:hAnsi="仿宋" w:eastAsia="仿宋_GB2312" w:cs="黑体"/>
          <w:color w:val="auto"/>
          <w:kern w:val="0"/>
          <w:sz w:val="32"/>
        </w:rPr>
        <w:t>在保险期间内，出现保险水产所在县级（含）以上气象部门发布预警或涵盖预警地区的台风、暴雨、寒冷和高温预警</w:t>
      </w:r>
      <w:r>
        <w:rPr>
          <w:rFonts w:hint="eastAsia" w:ascii="仿宋_GB2312" w:hAnsi="仿宋" w:eastAsia="仿宋_GB2312" w:cs="黑体"/>
          <w:color w:val="auto"/>
          <w:kern w:val="0"/>
          <w:sz w:val="32"/>
          <w:lang w:eastAsia="zh-CN"/>
        </w:rPr>
        <w:t>或</w:t>
      </w:r>
      <w:r>
        <w:rPr>
          <w:rFonts w:hint="eastAsia" w:ascii="仿宋_GB2312" w:hAnsi="仿宋" w:eastAsia="仿宋_GB2312" w:cs="黑体"/>
          <w:color w:val="auto"/>
          <w:kern w:val="0"/>
          <w:sz w:val="32"/>
        </w:rPr>
        <w:t>气象部门未发布预警，而实际预警地区的国家气象站监测数据达到预警类别时，可由投保人和保险人认可的第三方专业气象服务机构发布预警指定地区或涵盖预警指定地区的台风、暴雨、寒冷和高温预警提示报告，具体第三方专业气象服务机构由投保人与保险人协商确定，并在保险单中载明。预警类别触发条件分别为一类预警和二类预警。</w:t>
      </w:r>
    </w:p>
    <w:p>
      <w:pPr>
        <w:pStyle w:val="4"/>
        <w:adjustRightInd/>
        <w:snapToGrid/>
        <w:spacing w:line="560" w:lineRule="exact"/>
        <w:ind w:left="0" w:leftChars="0" w:firstLine="640" w:firstLineChars="200"/>
        <w:outlineLvl w:val="9"/>
        <w:rPr>
          <w:rFonts w:hint="default"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4.地方水产养殖险：</w:t>
      </w:r>
      <w:r>
        <w:rPr>
          <w:rFonts w:hint="default" w:ascii="仿宋_GB2312" w:hAnsi="仿宋_GB2312" w:eastAsia="仿宋_GB2312" w:cs="仿宋_GB2312"/>
          <w:bCs w:val="0"/>
          <w:color w:val="auto"/>
          <w:kern w:val="2"/>
          <w:sz w:val="32"/>
          <w:szCs w:val="32"/>
          <w:lang w:val="en-US" w:eastAsia="zh-CN" w:bidi="ar-SA"/>
        </w:rPr>
        <w:t>（1）在保险期限内，由于暴雨、风灾、洪水（政府行蓄洪除外）、雷击、地</w:t>
      </w:r>
      <w:r>
        <w:rPr>
          <w:rFonts w:hint="eastAsia" w:ascii="仿宋_GB2312" w:hAnsi="仿宋_GB2312" w:eastAsia="仿宋_GB2312" w:cs="仿宋_GB2312"/>
          <w:bCs w:val="0"/>
          <w:color w:val="auto"/>
          <w:kern w:val="2"/>
          <w:sz w:val="32"/>
          <w:szCs w:val="32"/>
          <w:lang w:val="en-US" w:eastAsia="zh-CN" w:bidi="ar-SA"/>
        </w:rPr>
        <w:t>震</w:t>
      </w:r>
      <w:r>
        <w:rPr>
          <w:rFonts w:hint="default" w:ascii="仿宋_GB2312" w:hAnsi="仿宋_GB2312" w:eastAsia="仿宋_GB2312" w:cs="仿宋_GB2312"/>
          <w:bCs w:val="0"/>
          <w:color w:val="auto"/>
          <w:kern w:val="2"/>
          <w:sz w:val="32"/>
          <w:szCs w:val="32"/>
          <w:lang w:val="en-US" w:eastAsia="zh-CN" w:bidi="ar-SA"/>
        </w:rPr>
        <w:t>、泥石流、河堤溃堤等原因直接造成保险水产的死亡，或者导致停电造成水产品养殖鱼塘增氧机、水泵不工作发生缺氧间接造成水产死亡</w:t>
      </w:r>
      <w:r>
        <w:rPr>
          <w:rFonts w:hint="eastAsia" w:ascii="仿宋_GB2312" w:hAnsi="仿宋_GB2312" w:eastAsia="仿宋_GB2312" w:cs="仿宋_GB2312"/>
          <w:bCs w:val="0"/>
          <w:color w:val="auto"/>
          <w:kern w:val="2"/>
          <w:sz w:val="32"/>
          <w:szCs w:val="32"/>
          <w:lang w:val="en-US" w:eastAsia="zh-CN" w:bidi="ar-SA"/>
        </w:rPr>
        <w:t>；</w:t>
      </w:r>
      <w:r>
        <w:rPr>
          <w:rFonts w:hint="default" w:ascii="仿宋_GB2312" w:hAnsi="仿宋_GB2312" w:eastAsia="仿宋_GB2312" w:cs="仿宋_GB2312"/>
          <w:bCs w:val="0"/>
          <w:color w:val="auto"/>
          <w:kern w:val="2"/>
          <w:sz w:val="32"/>
          <w:szCs w:val="32"/>
          <w:lang w:val="en-US" w:eastAsia="zh-CN" w:bidi="ar-SA"/>
        </w:rPr>
        <w:t>（2）因遭受上述列明的自然灾害事故而发生溃坎、漫坎，致使保险水产逃逸；（3）由于高温、</w:t>
      </w:r>
      <w:r>
        <w:rPr>
          <w:rFonts w:hint="eastAsia" w:ascii="仿宋_GB2312" w:hAnsi="仿宋_GB2312" w:eastAsia="仿宋_GB2312" w:cs="仿宋_GB2312"/>
          <w:bCs w:val="0"/>
          <w:color w:val="auto"/>
          <w:kern w:val="2"/>
          <w:sz w:val="32"/>
          <w:szCs w:val="32"/>
          <w:lang w:val="en-US" w:eastAsia="zh-CN" w:bidi="ar-SA"/>
        </w:rPr>
        <w:t>低温寒害</w:t>
      </w:r>
      <w:r>
        <w:rPr>
          <w:rFonts w:hint="default" w:ascii="仿宋_GB2312" w:hAnsi="仿宋_GB2312" w:eastAsia="仿宋_GB2312" w:cs="仿宋_GB2312"/>
          <w:bCs w:val="0"/>
          <w:color w:val="auto"/>
          <w:kern w:val="2"/>
          <w:sz w:val="32"/>
          <w:szCs w:val="32"/>
          <w:lang w:val="en-US" w:eastAsia="zh-CN" w:bidi="ar-SA"/>
        </w:rPr>
        <w:t>、冻灾造成保险水产的死亡；（4）因</w:t>
      </w:r>
      <w:r>
        <w:rPr>
          <w:rFonts w:hint="eastAsia" w:ascii="仿宋_GB2312" w:hAnsi="仿宋" w:eastAsia="仿宋_GB2312" w:cs="黑体"/>
          <w:color w:val="auto"/>
          <w:kern w:val="0"/>
          <w:sz w:val="32"/>
        </w:rPr>
        <w:t>疾病、疫病</w:t>
      </w:r>
      <w:r>
        <w:rPr>
          <w:rFonts w:hint="default" w:ascii="仿宋_GB2312" w:hAnsi="仿宋_GB2312" w:eastAsia="仿宋_GB2312" w:cs="仿宋_GB2312"/>
          <w:bCs w:val="0"/>
          <w:color w:val="auto"/>
          <w:kern w:val="2"/>
          <w:sz w:val="32"/>
          <w:szCs w:val="32"/>
          <w:lang w:val="en-US" w:eastAsia="zh-CN" w:bidi="ar-SA"/>
        </w:rPr>
        <w:t>造成保险水产在观察期以后的死亡。被保险水产从保险单生效之日起10日内为传染病观察期。在观察期内发生疾病死亡，保险公司不负赔偿责任。</w:t>
      </w:r>
    </w:p>
    <w:p>
      <w:pPr>
        <w:pStyle w:val="4"/>
        <w:adjustRightInd/>
        <w:snapToGrid/>
        <w:spacing w:line="560" w:lineRule="exact"/>
        <w:ind w:left="0" w:leftChars="0" w:firstLine="640" w:firstLineChars="200"/>
        <w:outlineLvl w:val="9"/>
        <w:rPr>
          <w:rFonts w:hint="default"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5</w:t>
      </w:r>
      <w:r>
        <w:rPr>
          <w:rFonts w:hint="default" w:ascii="仿宋_GB2312" w:hAnsi="仿宋_GB2312" w:eastAsia="仿宋_GB2312" w:cs="仿宋_GB2312"/>
          <w:bCs w:val="0"/>
          <w:color w:val="auto"/>
          <w:kern w:val="2"/>
          <w:sz w:val="32"/>
          <w:szCs w:val="32"/>
          <w:lang w:val="en-US" w:eastAsia="zh-CN" w:bidi="ar-SA"/>
        </w:rPr>
        <w:t>.种植大棚</w:t>
      </w:r>
      <w:r>
        <w:rPr>
          <w:rFonts w:hint="eastAsia" w:ascii="仿宋_GB2312" w:hAnsi="仿宋_GB2312" w:eastAsia="仿宋_GB2312" w:cs="仿宋_GB2312"/>
          <w:bCs w:val="0"/>
          <w:color w:val="auto"/>
          <w:kern w:val="2"/>
          <w:sz w:val="32"/>
          <w:szCs w:val="32"/>
          <w:lang w:val="en-US" w:eastAsia="zh-CN" w:bidi="ar-SA"/>
        </w:rPr>
        <w:t>险</w:t>
      </w:r>
      <w:r>
        <w:rPr>
          <w:rFonts w:hint="default" w:ascii="仿宋_GB2312" w:hAnsi="仿宋_GB2312" w:eastAsia="仿宋_GB2312" w:cs="仿宋_GB2312"/>
          <w:bCs w:val="0"/>
          <w:color w:val="auto"/>
          <w:kern w:val="2"/>
          <w:sz w:val="32"/>
          <w:szCs w:val="32"/>
          <w:lang w:val="en-US" w:eastAsia="zh-CN" w:bidi="ar-SA"/>
        </w:rPr>
        <w:t>：由于暴雨、洪水（政府行蓄洪除外）、内涝、风灾、雹灾、高温、地震、泥石流、突发性滑坡、爆炸、建筑物倒塌、空中运行物体坠落、崖崩、火灾</w:t>
      </w:r>
      <w:r>
        <w:rPr>
          <w:rFonts w:hint="eastAsia" w:ascii="仿宋_GB2312" w:hAnsi="仿宋_GB2312" w:eastAsia="仿宋_GB2312" w:cs="仿宋_GB2312"/>
          <w:bCs w:val="0"/>
          <w:color w:val="auto"/>
          <w:kern w:val="2"/>
          <w:sz w:val="32"/>
          <w:szCs w:val="32"/>
          <w:lang w:val="en-US" w:eastAsia="zh-CN" w:bidi="ar-SA"/>
        </w:rPr>
        <w:t>、</w:t>
      </w:r>
      <w:r>
        <w:rPr>
          <w:rFonts w:hint="default" w:ascii="仿宋_GB2312" w:hAnsi="仿宋_GB2312" w:eastAsia="仿宋_GB2312" w:cs="仿宋_GB2312"/>
          <w:bCs w:val="0"/>
          <w:color w:val="auto"/>
          <w:kern w:val="2"/>
          <w:sz w:val="32"/>
          <w:szCs w:val="32"/>
          <w:lang w:val="en-US" w:eastAsia="zh-CN" w:bidi="ar-SA"/>
        </w:rPr>
        <w:t>病虫草鼠害、野生动物毁损</w:t>
      </w:r>
      <w:r>
        <w:rPr>
          <w:rFonts w:hint="eastAsia" w:ascii="仿宋_GB2312" w:hAnsi="仿宋_GB2312" w:eastAsia="仿宋_GB2312" w:cs="仿宋_GB2312"/>
          <w:bCs w:val="0"/>
          <w:color w:val="auto"/>
          <w:kern w:val="2"/>
          <w:sz w:val="32"/>
          <w:szCs w:val="32"/>
          <w:lang w:val="en-US" w:eastAsia="zh-CN" w:bidi="ar-SA"/>
        </w:rPr>
        <w:t>等</w:t>
      </w:r>
      <w:r>
        <w:rPr>
          <w:rFonts w:hint="default" w:ascii="仿宋_GB2312" w:hAnsi="仿宋_GB2312" w:eastAsia="仿宋_GB2312" w:cs="仿宋_GB2312"/>
          <w:bCs w:val="0"/>
          <w:color w:val="auto"/>
          <w:kern w:val="2"/>
          <w:sz w:val="32"/>
          <w:szCs w:val="32"/>
          <w:lang w:val="en-US" w:eastAsia="zh-CN" w:bidi="ar-SA"/>
        </w:rPr>
        <w:t>原因直接造成保险大棚的损失，保险人按照本保险合同的约定负责赔偿。</w:t>
      </w:r>
    </w:p>
    <w:p>
      <w:pPr>
        <w:pStyle w:val="4"/>
        <w:adjustRightInd/>
        <w:snapToGrid/>
        <w:spacing w:line="560" w:lineRule="exact"/>
        <w:ind w:left="0" w:leftChars="0" w:firstLine="640" w:firstLineChars="200"/>
        <w:outlineLvl w:val="9"/>
        <w:rPr>
          <w:rFonts w:hint="default"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6.现代化海洋牧场养殖保险：由于热带气旋、暴雨、高温、低温寒害，以及疾病、疫病等原因，导致保险牧场水产死亡或损失的，保险人按照保险合同约定负责赔偿。</w:t>
      </w:r>
    </w:p>
    <w:p>
      <w:pPr>
        <w:pStyle w:val="4"/>
        <w:adjustRightInd/>
        <w:snapToGrid/>
        <w:spacing w:line="560" w:lineRule="exact"/>
        <w:ind w:firstLine="217" w:firstLineChars="68"/>
        <w:outlineLvl w:val="9"/>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（七）保险金额</w:t>
      </w:r>
      <w:r>
        <w:rPr>
          <w:rFonts w:hint="eastAsia" w:ascii="仿宋_GB2312" w:hAnsi="仿宋_GB2312" w:eastAsia="仿宋_GB2312" w:cs="仿宋_GB2312"/>
          <w:snapToGrid/>
          <w:color w:val="auto"/>
          <w:kern w:val="2"/>
          <w:sz w:val="32"/>
          <w:szCs w:val="32"/>
          <w:lang w:eastAsia="zh-CN"/>
        </w:rPr>
        <w:t>和费率</w:t>
      </w:r>
      <w:r>
        <w:rPr>
          <w:rFonts w:hint="eastAsia" w:ascii="仿宋_GB2312" w:hAnsi="仿宋_GB2312" w:eastAsia="仿宋_GB2312" w:cs="仿宋_GB2312"/>
          <w:snapToGrid/>
          <w:color w:val="auto"/>
          <w:kern w:val="2"/>
          <w:sz w:val="32"/>
          <w:szCs w:val="32"/>
        </w:rPr>
        <w:t>。</w:t>
      </w:r>
    </w:p>
    <w:p>
      <w:pPr>
        <w:pStyle w:val="4"/>
        <w:numPr>
          <w:ilvl w:val="0"/>
          <w:numId w:val="0"/>
        </w:numPr>
        <w:spacing w:line="560" w:lineRule="exact"/>
        <w:ind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1.水稻每造每亩保险金额1000元，费率3.5%。</w:t>
      </w:r>
    </w:p>
    <w:p>
      <w:pPr>
        <w:pStyle w:val="4"/>
        <w:numPr>
          <w:ilvl w:val="0"/>
          <w:numId w:val="0"/>
        </w:numPr>
        <w:spacing w:line="560" w:lineRule="exact"/>
        <w:ind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2.水稻制种每造每亩保险金额2000元，费率15%。</w:t>
      </w:r>
    </w:p>
    <w:p>
      <w:pPr>
        <w:pStyle w:val="4"/>
        <w:numPr>
          <w:ilvl w:val="0"/>
          <w:numId w:val="0"/>
        </w:numPr>
        <w:spacing w:line="560" w:lineRule="exact"/>
        <w:ind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3.玉米每造每亩保险金额为普通玉米600元、甜玉米1000元，费率4%。</w:t>
      </w:r>
    </w:p>
    <w:p>
      <w:pPr>
        <w:pStyle w:val="4"/>
        <w:numPr>
          <w:ilvl w:val="0"/>
          <w:numId w:val="0"/>
        </w:numPr>
        <w:spacing w:line="560" w:lineRule="exact"/>
        <w:ind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4.花生每造每亩保险金额1000元，费率2%。</w:t>
      </w:r>
    </w:p>
    <w:p>
      <w:pPr>
        <w:pStyle w:val="4"/>
        <w:numPr>
          <w:ilvl w:val="0"/>
          <w:numId w:val="0"/>
        </w:numPr>
        <w:spacing w:line="560" w:lineRule="exact"/>
        <w:ind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5.马铃薯每造每亩保险金额1800元，费率8%。</w:t>
      </w:r>
    </w:p>
    <w:p>
      <w:pPr>
        <w:pStyle w:val="4"/>
        <w:numPr>
          <w:ilvl w:val="0"/>
          <w:numId w:val="0"/>
        </w:numPr>
        <w:spacing w:line="560" w:lineRule="exact"/>
        <w:ind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6.甘蔗每造每亩保险金额1500元，费率4.5%。</w:t>
      </w:r>
    </w:p>
    <w:p>
      <w:pPr>
        <w:pStyle w:val="4"/>
        <w:numPr>
          <w:ilvl w:val="0"/>
          <w:numId w:val="0"/>
        </w:numPr>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7.能繁母猪每头保险金额2500元，费率7%；生猪中育肥猪每头保险金额1500元，费率3.8%；仔猪每头保险金额500元，费率5.6%。</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（1）购买猪苗养殖猪场。按批次投保，且只能投保育肥猪保险，育肥猪保额1500元/头。</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2）“自繁自养”猪场。即养殖场自己繁育仔猪并全部饲养至育成肥猪出栏，该类猪场可以合并仔猪和育肥猪2种保险类型进行投保，也可以单独投保仔猪保险或者育肥猪保险，按年出栏量投保，出栏仔猪保额500元/头、出栏育肥猪保额1500元/头。</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3）“自繁自养+外卖仔猪”猪场。即养殖场繁育仔猪部分在本场饲养至育成肥猪出栏，部分仔猪出售给其它猪场饲养。鉴于仔猪自养和外卖动态变化较大，数量核定较复杂，该类猪场原则上只能投保仔猪保险，按年出栏量投保，出栏仔猪保额500元/头。如果该猪场要同时投保仔猪和育肥猪，则必须提供每季度和年度仔猪、育肥猪出栏销售有关凭证，以实际出栏数量作为最终审核结算仔猪、育肥猪投保数量的依据。</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（4）种猪场。即养殖场繁育仔猪全部出售给其它猪场饲养，该类猪场投保仔猪保险，按年出栏量投保，出栏仔猪保额500元/头。</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各区根据存栏能繁母猪数量的16-22倍推算年度仔猪、育肥猪的出栏数量（由当地畜牧兽医部门核定）。仔猪是指2.5公斤（含）～20公斤（含）的小猪，育肥猪是指20公斤（不含）～出栏阶段的猪。</w:t>
      </w:r>
    </w:p>
    <w:p>
      <w:pPr>
        <w:pStyle w:val="4"/>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8.奶牛：1-3周岁（含1周岁不含3周岁）每头保险金额20000元、3-7周岁每头保险金额15000元（含3周岁不含7周岁）、7-8周岁每头保险金额10000元（含7周岁和8周岁），费率6%。不足1周岁和大于8周岁的不在保险范围之内。</w:t>
      </w:r>
    </w:p>
    <w:p>
      <w:pPr>
        <w:pStyle w:val="4"/>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9.</w:t>
      </w:r>
      <w:r>
        <w:rPr>
          <w:rFonts w:hint="eastAsia" w:ascii="仿宋_GB2312" w:hAnsi="仿宋_GB2312" w:eastAsia="仿宋_GB2312" w:cs="仿宋_GB2312"/>
          <w:bCs w:val="0"/>
          <w:color w:val="auto"/>
          <w:kern w:val="2"/>
          <w:sz w:val="32"/>
          <w:szCs w:val="32"/>
          <w:shd w:val="clear" w:color="auto" w:fill="auto"/>
          <w:lang w:val="en-US" w:eastAsia="zh-CN" w:bidi="ar-SA"/>
        </w:rPr>
        <w:t>大豆每造每亩保险金额600元，费率4%。</w:t>
      </w:r>
    </w:p>
    <w:p>
      <w:pPr>
        <w:numPr>
          <w:ilvl w:val="0"/>
          <w:numId w:val="0"/>
        </w:numPr>
        <w:spacing w:line="560" w:lineRule="exact"/>
        <w:ind w:firstLine="640" w:firstLineChars="200"/>
        <w:outlineLvl w:val="9"/>
        <w:rPr>
          <w:rFonts w:hint="default" w:ascii="仿宋_GB2312" w:hAnsi="仿宋_GB2312" w:eastAsia="仿宋_GB2312" w:cs="仿宋_GB2312"/>
          <w:bCs w:val="0"/>
          <w:color w:val="auto"/>
          <w:kern w:val="2"/>
          <w:sz w:val="32"/>
          <w:szCs w:val="32"/>
          <w:shd w:val="clear" w:color="auto" w:fill="auto"/>
          <w:lang w:val="en-US" w:eastAsia="zh-CN" w:bidi="ar-SA"/>
        </w:rPr>
      </w:pPr>
      <w:r>
        <w:rPr>
          <w:rFonts w:hint="eastAsia" w:ascii="仿宋_GB2312" w:hAnsi="仿宋_GB2312" w:eastAsia="仿宋_GB2312" w:cs="仿宋_GB2312"/>
          <w:bCs w:val="0"/>
          <w:color w:val="auto"/>
          <w:kern w:val="2"/>
          <w:sz w:val="32"/>
          <w:szCs w:val="32"/>
          <w:lang w:val="en-US" w:eastAsia="zh-CN" w:bidi="ar-SA"/>
        </w:rPr>
        <w:t>10.岭南水果按年投保分三档，其中黄皮、李子、柿子每亩保险金额2000元，无花果、葡萄、火龙果、蓝莓、枇杷每亩保险金额4000元，香蕉、木瓜、荔枝、龙眼、柑桔橙柚、番石榴、杨桃等其他水果每亩保险金额3000元，费率为6%。西瓜、草莓按造次投保，</w:t>
      </w:r>
      <w:r>
        <w:rPr>
          <w:rFonts w:hint="default" w:ascii="仿宋_GB2312" w:hAnsi="仿宋_GB2312" w:eastAsia="仿宋_GB2312" w:cs="仿宋_GB2312"/>
          <w:bCs w:val="0"/>
          <w:color w:val="auto"/>
          <w:kern w:val="2"/>
          <w:sz w:val="32"/>
          <w:szCs w:val="32"/>
          <w:lang w:val="en-US" w:eastAsia="zh-CN" w:bidi="ar-SA"/>
        </w:rPr>
        <w:t>每造</w:t>
      </w:r>
      <w:r>
        <w:rPr>
          <w:rFonts w:hint="eastAsia" w:ascii="仿宋_GB2312" w:hAnsi="仿宋_GB2312" w:eastAsia="仿宋_GB2312" w:cs="仿宋_GB2312"/>
          <w:bCs w:val="0"/>
          <w:color w:val="auto"/>
          <w:kern w:val="2"/>
          <w:sz w:val="32"/>
          <w:szCs w:val="32"/>
          <w:lang w:val="en-US" w:eastAsia="zh-CN" w:bidi="ar-SA"/>
        </w:rPr>
        <w:t>每亩</w:t>
      </w:r>
      <w:r>
        <w:rPr>
          <w:rFonts w:hint="default" w:ascii="仿宋_GB2312" w:hAnsi="仿宋_GB2312" w:eastAsia="仿宋_GB2312" w:cs="仿宋_GB2312"/>
          <w:bCs w:val="0"/>
          <w:color w:val="auto"/>
          <w:kern w:val="2"/>
          <w:sz w:val="32"/>
          <w:szCs w:val="32"/>
          <w:lang w:val="en-US" w:eastAsia="zh-CN" w:bidi="ar-SA"/>
        </w:rPr>
        <w:t>保险金额分别为1</w:t>
      </w:r>
      <w:r>
        <w:rPr>
          <w:rFonts w:hint="eastAsia" w:ascii="仿宋_GB2312" w:hAnsi="仿宋_GB2312" w:eastAsia="仿宋_GB2312" w:cs="仿宋_GB2312"/>
          <w:bCs w:val="0"/>
          <w:color w:val="auto"/>
          <w:kern w:val="2"/>
          <w:sz w:val="32"/>
          <w:szCs w:val="32"/>
          <w:lang w:val="en-US" w:eastAsia="zh-CN" w:bidi="ar-SA"/>
        </w:rPr>
        <w:t>000</w:t>
      </w:r>
      <w:r>
        <w:rPr>
          <w:rFonts w:hint="default" w:ascii="仿宋_GB2312" w:hAnsi="仿宋_GB2312" w:eastAsia="仿宋_GB2312" w:cs="仿宋_GB2312"/>
          <w:bCs w:val="0"/>
          <w:color w:val="auto"/>
          <w:kern w:val="2"/>
          <w:sz w:val="32"/>
          <w:szCs w:val="32"/>
          <w:lang w:val="en-US" w:eastAsia="zh-CN" w:bidi="ar-SA"/>
        </w:rPr>
        <w:t>元、1</w:t>
      </w:r>
      <w:r>
        <w:rPr>
          <w:rFonts w:hint="eastAsia" w:ascii="仿宋_GB2312" w:hAnsi="仿宋_GB2312" w:eastAsia="仿宋_GB2312" w:cs="仿宋_GB2312"/>
          <w:bCs w:val="0"/>
          <w:color w:val="auto"/>
          <w:kern w:val="2"/>
          <w:sz w:val="32"/>
          <w:szCs w:val="32"/>
          <w:lang w:val="en-US" w:eastAsia="zh-CN" w:bidi="ar-SA"/>
        </w:rPr>
        <w:t>5</w:t>
      </w:r>
      <w:r>
        <w:rPr>
          <w:rFonts w:hint="default" w:ascii="仿宋_GB2312" w:hAnsi="仿宋_GB2312" w:eastAsia="仿宋_GB2312" w:cs="仿宋_GB2312"/>
          <w:bCs w:val="0"/>
          <w:color w:val="auto"/>
          <w:kern w:val="2"/>
          <w:sz w:val="32"/>
          <w:szCs w:val="32"/>
          <w:lang w:val="en-US" w:eastAsia="zh-CN" w:bidi="ar-SA"/>
        </w:rPr>
        <w:t>00元，费率4%。</w:t>
      </w:r>
    </w:p>
    <w:p>
      <w:pPr>
        <w:pStyle w:val="4"/>
        <w:numPr>
          <w:ilvl w:val="0"/>
          <w:numId w:val="0"/>
        </w:numPr>
        <w:spacing w:line="560" w:lineRule="exact"/>
        <w:ind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11.茶叶每亩保险金额5000元，费率3%。</w:t>
      </w:r>
    </w:p>
    <w:p>
      <w:pPr>
        <w:numPr>
          <w:ilvl w:val="0"/>
          <w:numId w:val="0"/>
        </w:numPr>
        <w:spacing w:line="560" w:lineRule="exact"/>
        <w:ind w:left="0" w:leftChars="0" w:firstLine="640" w:firstLineChars="200"/>
        <w:jc w:val="left"/>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12.</w:t>
      </w:r>
      <w:r>
        <w:rPr>
          <w:rFonts w:hint="default" w:ascii="仿宋_GB2312" w:hAnsi="仿宋_GB2312" w:eastAsia="仿宋_GB2312" w:cs="仿宋_GB2312"/>
          <w:bCs w:val="0"/>
          <w:color w:val="auto"/>
          <w:kern w:val="2"/>
          <w:sz w:val="32"/>
          <w:szCs w:val="32"/>
          <w:lang w:val="en-US" w:eastAsia="zh-CN" w:bidi="ar-SA"/>
        </w:rPr>
        <w:t>蔬菜按茬投保</w:t>
      </w:r>
      <w:r>
        <w:rPr>
          <w:rFonts w:hint="eastAsia" w:ascii="仿宋_GB2312" w:hAnsi="仿宋_GB2312" w:eastAsia="仿宋_GB2312" w:cs="仿宋_GB2312"/>
          <w:bCs w:val="0"/>
          <w:color w:val="auto"/>
          <w:kern w:val="2"/>
          <w:sz w:val="32"/>
          <w:szCs w:val="32"/>
          <w:lang w:val="en-US" w:eastAsia="zh-CN" w:bidi="ar-SA"/>
        </w:rPr>
        <w:t>，</w:t>
      </w:r>
      <w:r>
        <w:rPr>
          <w:rFonts w:hint="default" w:ascii="仿宋_GB2312" w:hAnsi="仿宋_GB2312" w:eastAsia="仿宋_GB2312" w:cs="仿宋_GB2312"/>
          <w:bCs w:val="0"/>
          <w:color w:val="auto"/>
          <w:kern w:val="2"/>
          <w:sz w:val="32"/>
          <w:szCs w:val="32"/>
          <w:lang w:val="en-US" w:eastAsia="zh-CN" w:bidi="ar-SA"/>
        </w:rPr>
        <w:t>叶菜900元/亩、根菜类/茎菜类/花菜类1500元/亩、果菜2000元/亩</w:t>
      </w:r>
      <w:r>
        <w:rPr>
          <w:rFonts w:hint="eastAsia" w:ascii="仿宋_GB2312" w:hAnsi="仿宋_GB2312" w:eastAsia="仿宋_GB2312" w:cs="仿宋_GB2312"/>
          <w:bCs w:val="0"/>
          <w:color w:val="auto"/>
          <w:kern w:val="2"/>
          <w:sz w:val="32"/>
          <w:szCs w:val="32"/>
          <w:lang w:val="en-US" w:eastAsia="zh-CN" w:bidi="ar-SA"/>
        </w:rPr>
        <w:t>，大棚种植费率3%，露天种植费率6%</w:t>
      </w:r>
      <w:r>
        <w:rPr>
          <w:rFonts w:hint="default" w:ascii="仿宋_GB2312" w:hAnsi="仿宋_GB2312" w:eastAsia="仿宋_GB2312" w:cs="仿宋_GB2312"/>
          <w:bCs w:val="0"/>
          <w:color w:val="auto"/>
          <w:kern w:val="2"/>
          <w:sz w:val="32"/>
          <w:szCs w:val="32"/>
          <w:lang w:val="en-US" w:eastAsia="zh-CN" w:bidi="ar-SA"/>
        </w:rPr>
        <w:t>。</w:t>
      </w:r>
    </w:p>
    <w:p>
      <w:pPr>
        <w:pStyle w:val="4"/>
        <w:numPr>
          <w:ilvl w:val="0"/>
          <w:numId w:val="0"/>
        </w:numPr>
        <w:spacing w:line="560" w:lineRule="exact"/>
        <w:ind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13.花卉苗木（含鲜切花）按年投保，盆栽按批次投保。</w:t>
      </w:r>
    </w:p>
    <w:tbl>
      <w:tblPr>
        <w:tblStyle w:val="8"/>
        <w:tblpPr w:leftFromText="180" w:rightFromText="180" w:vertAnchor="text" w:horzAnchor="page" w:tblpX="1897" w:tblpY="225"/>
        <w:tblOverlap w:val="never"/>
        <w:tblW w:w="91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4"/>
        <w:gridCol w:w="1035"/>
        <w:gridCol w:w="2976"/>
        <w:gridCol w:w="983"/>
        <w:gridCol w:w="1477"/>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51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b w:val="0"/>
                <w:bCs w:val="0"/>
                <w:i w:val="0"/>
                <w:color w:val="auto"/>
                <w:kern w:val="0"/>
                <w:sz w:val="28"/>
                <w:szCs w:val="28"/>
                <w:highlight w:val="none"/>
                <w:u w:val="none"/>
                <w:lang w:val="en-US" w:eastAsia="zh-CN" w:bidi="ar"/>
              </w:rPr>
            </w:pPr>
            <w:r>
              <w:rPr>
                <w:rFonts w:hint="eastAsia" w:ascii="黑体" w:hAnsi="黑体" w:eastAsia="黑体" w:cs="黑体"/>
                <w:b w:val="0"/>
                <w:bCs w:val="0"/>
                <w:i w:val="0"/>
                <w:color w:val="auto"/>
                <w:kern w:val="0"/>
                <w:sz w:val="28"/>
                <w:szCs w:val="28"/>
                <w:highlight w:val="none"/>
                <w:u w:val="none"/>
                <w:lang w:val="en-US" w:eastAsia="zh-CN" w:bidi="ar"/>
              </w:rPr>
              <w:t>品种</w:t>
            </w:r>
          </w:p>
        </w:tc>
        <w:tc>
          <w:tcPr>
            <w:tcW w:w="103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b w:val="0"/>
                <w:bCs w:val="0"/>
                <w:i w:val="0"/>
                <w:color w:val="auto"/>
                <w:kern w:val="0"/>
                <w:sz w:val="28"/>
                <w:szCs w:val="28"/>
                <w:highlight w:val="none"/>
                <w:u w:val="none"/>
                <w:lang w:val="en-US" w:eastAsia="zh-CN" w:bidi="ar"/>
              </w:rPr>
            </w:pPr>
            <w:r>
              <w:rPr>
                <w:rFonts w:hint="eastAsia" w:ascii="黑体" w:hAnsi="黑体" w:eastAsia="黑体" w:cs="黑体"/>
                <w:b w:val="0"/>
                <w:bCs w:val="0"/>
                <w:i w:val="0"/>
                <w:color w:val="auto"/>
                <w:kern w:val="0"/>
                <w:sz w:val="28"/>
                <w:szCs w:val="28"/>
                <w:highlight w:val="none"/>
                <w:u w:val="none"/>
                <w:lang w:val="en-US" w:eastAsia="zh-CN" w:bidi="ar"/>
              </w:rPr>
              <w:t>单位</w:t>
            </w:r>
          </w:p>
        </w:tc>
        <w:tc>
          <w:tcPr>
            <w:tcW w:w="297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b w:val="0"/>
                <w:bCs w:val="0"/>
                <w:i w:val="0"/>
                <w:color w:val="auto"/>
                <w:kern w:val="0"/>
                <w:sz w:val="28"/>
                <w:szCs w:val="28"/>
                <w:highlight w:val="none"/>
                <w:u w:val="none"/>
                <w:lang w:val="en-US" w:eastAsia="zh-CN" w:bidi="ar"/>
              </w:rPr>
            </w:pPr>
            <w:r>
              <w:rPr>
                <w:rFonts w:hint="eastAsia" w:ascii="黑体" w:hAnsi="黑体" w:eastAsia="黑体" w:cs="黑体"/>
                <w:b w:val="0"/>
                <w:bCs w:val="0"/>
                <w:i w:val="0"/>
                <w:color w:val="auto"/>
                <w:kern w:val="0"/>
                <w:sz w:val="28"/>
                <w:szCs w:val="28"/>
                <w:highlight w:val="none"/>
                <w:u w:val="none"/>
                <w:lang w:val="en-US" w:eastAsia="zh-CN" w:bidi="ar"/>
              </w:rPr>
              <w:t>细分种类</w:t>
            </w:r>
          </w:p>
        </w:tc>
        <w:tc>
          <w:tcPr>
            <w:tcW w:w="98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b w:val="0"/>
                <w:bCs w:val="0"/>
                <w:i w:val="0"/>
                <w:color w:val="auto"/>
                <w:kern w:val="0"/>
                <w:sz w:val="28"/>
                <w:szCs w:val="28"/>
                <w:highlight w:val="none"/>
                <w:u w:val="none"/>
                <w:lang w:val="en-US" w:eastAsia="zh-CN" w:bidi="ar"/>
              </w:rPr>
            </w:pPr>
            <w:r>
              <w:rPr>
                <w:rFonts w:hint="eastAsia" w:ascii="黑体" w:hAnsi="黑体" w:eastAsia="黑体" w:cs="黑体"/>
                <w:b w:val="0"/>
                <w:bCs w:val="0"/>
                <w:i w:val="0"/>
                <w:color w:val="auto"/>
                <w:kern w:val="0"/>
                <w:sz w:val="28"/>
                <w:szCs w:val="28"/>
                <w:highlight w:val="none"/>
                <w:u w:val="none"/>
                <w:lang w:val="en-US" w:eastAsia="zh-CN" w:bidi="ar"/>
              </w:rPr>
              <w:t>保额（元）</w:t>
            </w:r>
          </w:p>
        </w:tc>
        <w:tc>
          <w:tcPr>
            <w:tcW w:w="262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b w:val="0"/>
                <w:bCs w:val="0"/>
                <w:i w:val="0"/>
                <w:color w:val="auto"/>
                <w:kern w:val="0"/>
                <w:sz w:val="28"/>
                <w:szCs w:val="28"/>
                <w:highlight w:val="none"/>
                <w:u w:val="none"/>
                <w:lang w:val="en-US" w:eastAsia="zh-CN" w:bidi="ar"/>
              </w:rPr>
            </w:pPr>
            <w:r>
              <w:rPr>
                <w:rFonts w:hint="eastAsia" w:ascii="黑体" w:hAnsi="黑体" w:eastAsia="黑体" w:cs="黑体"/>
                <w:b w:val="0"/>
                <w:bCs w:val="0"/>
                <w:i w:val="0"/>
                <w:color w:val="auto"/>
                <w:kern w:val="0"/>
                <w:sz w:val="28"/>
                <w:szCs w:val="28"/>
                <w:highlight w:val="none"/>
                <w:u w:val="none"/>
                <w:lang w:val="en-US" w:eastAsia="zh-CN" w:bidi="ar"/>
              </w:rPr>
              <w:t>保险费率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51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color w:val="auto"/>
                <w:kern w:val="0"/>
                <w:sz w:val="28"/>
                <w:szCs w:val="28"/>
                <w:highlight w:val="none"/>
                <w:u w:val="none"/>
                <w:lang w:val="en-US" w:eastAsia="zh-CN" w:bidi="ar"/>
              </w:rPr>
            </w:pP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color w:val="auto"/>
                <w:kern w:val="0"/>
                <w:sz w:val="28"/>
                <w:szCs w:val="28"/>
                <w:highlight w:val="none"/>
                <w:u w:val="none"/>
                <w:lang w:val="en-US" w:eastAsia="zh-CN" w:bidi="ar"/>
              </w:rPr>
            </w:pPr>
          </w:p>
        </w:tc>
        <w:tc>
          <w:tcPr>
            <w:tcW w:w="297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color w:val="auto"/>
                <w:kern w:val="0"/>
                <w:sz w:val="28"/>
                <w:szCs w:val="28"/>
                <w:highlight w:val="none"/>
                <w:u w:val="none"/>
                <w:lang w:val="en-US" w:eastAsia="zh-CN" w:bidi="ar"/>
              </w:rPr>
            </w:pPr>
          </w:p>
        </w:tc>
        <w:tc>
          <w:tcPr>
            <w:tcW w:w="98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color w:val="auto"/>
                <w:kern w:val="0"/>
                <w:sz w:val="28"/>
                <w:szCs w:val="28"/>
                <w:highlight w:val="none"/>
                <w:u w:val="none"/>
                <w:lang w:val="en-US" w:eastAsia="zh-CN" w:bidi="ar"/>
              </w:rPr>
            </w:pPr>
          </w:p>
        </w:tc>
        <w:tc>
          <w:tcPr>
            <w:tcW w:w="14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b w:val="0"/>
                <w:bCs w:val="0"/>
                <w:i w:val="0"/>
                <w:color w:val="auto"/>
                <w:kern w:val="0"/>
                <w:sz w:val="28"/>
                <w:szCs w:val="28"/>
                <w:highlight w:val="none"/>
                <w:u w:val="none"/>
                <w:lang w:val="en-US" w:eastAsia="zh-CN" w:bidi="ar"/>
              </w:rPr>
            </w:pPr>
            <w:r>
              <w:rPr>
                <w:rFonts w:hint="eastAsia" w:ascii="黑体" w:hAnsi="黑体" w:eastAsia="黑体" w:cs="黑体"/>
                <w:b w:val="0"/>
                <w:bCs w:val="0"/>
                <w:i w:val="0"/>
                <w:color w:val="auto"/>
                <w:kern w:val="0"/>
                <w:sz w:val="28"/>
                <w:szCs w:val="28"/>
                <w:highlight w:val="none"/>
                <w:u w:val="none"/>
                <w:lang w:val="en-US" w:eastAsia="zh-CN" w:bidi="ar"/>
              </w:rPr>
              <w:t>大棚内</w:t>
            </w:r>
          </w:p>
        </w:tc>
        <w:tc>
          <w:tcPr>
            <w:tcW w:w="11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b w:val="0"/>
                <w:bCs w:val="0"/>
                <w:i w:val="0"/>
                <w:color w:val="auto"/>
                <w:kern w:val="0"/>
                <w:sz w:val="28"/>
                <w:szCs w:val="28"/>
                <w:highlight w:val="none"/>
                <w:u w:val="none"/>
                <w:lang w:val="en-US" w:eastAsia="zh-CN" w:bidi="ar"/>
              </w:rPr>
            </w:pPr>
            <w:r>
              <w:rPr>
                <w:rFonts w:hint="eastAsia" w:ascii="黑体" w:hAnsi="黑体" w:eastAsia="黑体" w:cs="黑体"/>
                <w:b w:val="0"/>
                <w:bCs w:val="0"/>
                <w:i w:val="0"/>
                <w:color w:val="auto"/>
                <w:kern w:val="0"/>
                <w:sz w:val="28"/>
                <w:szCs w:val="28"/>
                <w:highlight w:val="none"/>
                <w:u w:val="none"/>
                <w:lang w:val="en-US" w:eastAsia="zh-CN" w:bidi="ar"/>
              </w:rPr>
              <w:t>露地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51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eastAsia" w:eastAsia="仿宋_GB2312" w:cs="Times New Roman"/>
                <w:b/>
                <w:bCs/>
                <w:i w:val="0"/>
                <w:color w:val="auto"/>
                <w:kern w:val="0"/>
                <w:sz w:val="28"/>
                <w:szCs w:val="28"/>
                <w:highlight w:val="none"/>
                <w:u w:val="none"/>
                <w:lang w:val="en-US" w:eastAsia="zh-CN" w:bidi="ar"/>
              </w:rPr>
              <w:t>花卉</w:t>
            </w:r>
            <w:r>
              <w:rPr>
                <w:rFonts w:hint="default" w:ascii="Times New Roman" w:hAnsi="Times New Roman" w:eastAsia="仿宋_GB2312" w:cs="Times New Roman"/>
                <w:b/>
                <w:bCs/>
                <w:i w:val="0"/>
                <w:color w:val="auto"/>
                <w:kern w:val="0"/>
                <w:sz w:val="28"/>
                <w:szCs w:val="28"/>
                <w:highlight w:val="none"/>
                <w:u w:val="none"/>
                <w:lang w:val="en-US" w:eastAsia="zh-CN" w:bidi="ar"/>
              </w:rPr>
              <w:t>苗木</w:t>
            </w:r>
            <w:r>
              <w:rPr>
                <w:rFonts w:hint="eastAsia" w:eastAsia="仿宋_GB2312" w:cs="Times New Roman"/>
                <w:b/>
                <w:bCs/>
                <w:i w:val="0"/>
                <w:color w:val="auto"/>
                <w:kern w:val="0"/>
                <w:sz w:val="28"/>
                <w:szCs w:val="28"/>
                <w:highlight w:val="none"/>
                <w:u w:val="none"/>
                <w:lang w:val="en-US" w:eastAsia="zh-CN" w:bidi="ar"/>
              </w:rPr>
              <w:t>（含鲜切）</w:t>
            </w:r>
          </w:p>
        </w:tc>
        <w:tc>
          <w:tcPr>
            <w:tcW w:w="103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亩</w:t>
            </w:r>
          </w:p>
        </w:tc>
        <w:tc>
          <w:tcPr>
            <w:tcW w:w="297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多年</w:t>
            </w:r>
            <w:r>
              <w:rPr>
                <w:rFonts w:hint="eastAsia" w:eastAsia="仿宋_GB2312" w:cs="Times New Roman"/>
                <w:i w:val="0"/>
                <w:color w:val="auto"/>
                <w:kern w:val="0"/>
                <w:sz w:val="28"/>
                <w:szCs w:val="28"/>
                <w:highlight w:val="none"/>
                <w:u w:val="none"/>
                <w:lang w:val="en-US" w:eastAsia="zh-CN" w:bidi="ar"/>
              </w:rPr>
              <w:t>生</w:t>
            </w:r>
          </w:p>
        </w:tc>
        <w:tc>
          <w:tcPr>
            <w:tcW w:w="9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5000</w:t>
            </w:r>
          </w:p>
        </w:tc>
        <w:tc>
          <w:tcPr>
            <w:tcW w:w="14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eastAsia" w:cs="Times New Roman"/>
                <w:i w:val="0"/>
                <w:color w:val="auto"/>
                <w:kern w:val="0"/>
                <w:sz w:val="28"/>
                <w:szCs w:val="28"/>
                <w:highlight w:val="none"/>
                <w:u w:val="none"/>
                <w:lang w:val="en-US" w:eastAsia="zh-CN" w:bidi="ar"/>
              </w:rPr>
              <w:t>2.5</w:t>
            </w:r>
            <w:r>
              <w:rPr>
                <w:rFonts w:hint="default" w:ascii="Times New Roman" w:hAnsi="Times New Roman" w:eastAsia="仿宋_GB2312" w:cs="Times New Roman"/>
                <w:i w:val="0"/>
                <w:color w:val="auto"/>
                <w:kern w:val="0"/>
                <w:sz w:val="28"/>
                <w:szCs w:val="28"/>
                <w:highlight w:val="none"/>
                <w:u w:val="none"/>
                <w:lang w:val="en-US" w:eastAsia="zh-CN" w:bidi="ar"/>
              </w:rPr>
              <w:t>%</w:t>
            </w:r>
          </w:p>
        </w:tc>
        <w:tc>
          <w:tcPr>
            <w:tcW w:w="11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eastAsia" w:cs="Times New Roman"/>
                <w:i w:val="0"/>
                <w:color w:val="auto"/>
                <w:kern w:val="0"/>
                <w:sz w:val="28"/>
                <w:szCs w:val="28"/>
                <w:highlight w:val="none"/>
                <w:u w:val="none"/>
                <w:lang w:val="en-US" w:eastAsia="zh-CN" w:bidi="ar"/>
              </w:rPr>
              <w:t>5</w:t>
            </w:r>
            <w:r>
              <w:rPr>
                <w:rFonts w:hint="default" w:ascii="Times New Roman" w:hAnsi="Times New Roman" w:eastAsia="仿宋_GB2312" w:cs="Times New Roman"/>
                <w:i w:val="0"/>
                <w:color w:val="auto"/>
                <w:kern w:val="0"/>
                <w:sz w:val="28"/>
                <w:szCs w:val="28"/>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51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c>
          <w:tcPr>
            <w:tcW w:w="297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一年多（一）茬</w:t>
            </w:r>
          </w:p>
        </w:tc>
        <w:tc>
          <w:tcPr>
            <w:tcW w:w="9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3000</w:t>
            </w:r>
          </w:p>
        </w:tc>
        <w:tc>
          <w:tcPr>
            <w:tcW w:w="14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eastAsia" w:cs="Times New Roman"/>
                <w:i w:val="0"/>
                <w:color w:val="auto"/>
                <w:kern w:val="0"/>
                <w:sz w:val="28"/>
                <w:szCs w:val="28"/>
                <w:highlight w:val="none"/>
                <w:u w:val="none"/>
                <w:lang w:val="en-US" w:eastAsia="zh-CN" w:bidi="ar"/>
              </w:rPr>
              <w:t>2.5</w:t>
            </w:r>
            <w:r>
              <w:rPr>
                <w:rFonts w:hint="default" w:ascii="Times New Roman" w:hAnsi="Times New Roman" w:eastAsia="仿宋_GB2312" w:cs="Times New Roman"/>
                <w:i w:val="0"/>
                <w:color w:val="auto"/>
                <w:kern w:val="0"/>
                <w:sz w:val="28"/>
                <w:szCs w:val="28"/>
                <w:highlight w:val="none"/>
                <w:u w:val="none"/>
                <w:lang w:val="en-US" w:eastAsia="zh-CN" w:bidi="ar"/>
              </w:rPr>
              <w:t>%</w:t>
            </w:r>
          </w:p>
        </w:tc>
        <w:tc>
          <w:tcPr>
            <w:tcW w:w="11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eastAsia" w:cs="Times New Roman"/>
                <w:i w:val="0"/>
                <w:color w:val="auto"/>
                <w:kern w:val="0"/>
                <w:sz w:val="28"/>
                <w:szCs w:val="28"/>
                <w:highlight w:val="none"/>
                <w:u w:val="none"/>
                <w:lang w:val="en-US" w:eastAsia="zh-CN" w:bidi="ar"/>
              </w:rPr>
              <w:t>5</w:t>
            </w:r>
            <w:r>
              <w:rPr>
                <w:rFonts w:hint="default" w:ascii="Times New Roman" w:hAnsi="Times New Roman" w:eastAsia="仿宋_GB2312" w:cs="Times New Roman"/>
                <w:i w:val="0"/>
                <w:color w:val="auto"/>
                <w:kern w:val="0"/>
                <w:sz w:val="28"/>
                <w:szCs w:val="28"/>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151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default" w:ascii="Times New Roman" w:hAnsi="Times New Roman" w:eastAsia="仿宋_GB2312" w:cs="Times New Roman"/>
                <w:b/>
                <w:bCs/>
                <w:i w:val="0"/>
                <w:color w:val="auto"/>
                <w:kern w:val="0"/>
                <w:sz w:val="28"/>
                <w:szCs w:val="28"/>
                <w:highlight w:val="none"/>
                <w:u w:val="none"/>
                <w:lang w:val="en-US" w:eastAsia="zh-CN" w:bidi="ar"/>
              </w:rPr>
              <w:t>盆栽</w:t>
            </w:r>
          </w:p>
        </w:tc>
        <w:tc>
          <w:tcPr>
            <w:tcW w:w="103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盆</w:t>
            </w:r>
            <w:r>
              <w:rPr>
                <w:rFonts w:hint="default" w:ascii="Times New Roman" w:hAnsi="Times New Roman" w:cs="Times New Roman"/>
                <w:i w:val="0"/>
                <w:color w:val="auto"/>
                <w:kern w:val="0"/>
                <w:sz w:val="28"/>
                <w:szCs w:val="28"/>
                <w:highlight w:val="none"/>
                <w:u w:val="none"/>
                <w:lang w:val="en-US" w:eastAsia="zh-CN" w:bidi="ar"/>
              </w:rPr>
              <w:t>（穴）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c>
          <w:tcPr>
            <w:tcW w:w="297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color w:val="auto"/>
                <w:kern w:val="0"/>
                <w:sz w:val="28"/>
                <w:szCs w:val="28"/>
                <w:highlight w:val="none"/>
                <w:u w:val="none"/>
                <w:lang w:val="en-US" w:eastAsia="zh-CN" w:bidi="ar"/>
              </w:rPr>
            </w:pPr>
            <w:r>
              <w:rPr>
                <w:rFonts w:hint="default" w:ascii="Times New Roman" w:hAnsi="Times New Roman" w:eastAsia="仿宋_GB2312" w:cs="Times New Roman"/>
                <w:bCs w:val="0"/>
                <w:color w:val="auto"/>
                <w:kern w:val="0"/>
                <w:sz w:val="28"/>
                <w:szCs w:val="28"/>
                <w:highlight w:val="none"/>
                <w:u w:val="none"/>
                <w:lang w:eastAsia="zh-CN" w:bidi="ar"/>
              </w:rPr>
              <w:t>穴盘培养时期</w:t>
            </w:r>
          </w:p>
        </w:tc>
        <w:tc>
          <w:tcPr>
            <w:tcW w:w="9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仿宋_GB2312" w:cs="Times New Roman"/>
                <w:i w:val="0"/>
                <w:color w:val="auto"/>
                <w:kern w:val="0"/>
                <w:sz w:val="28"/>
                <w:szCs w:val="28"/>
                <w:highlight w:val="none"/>
                <w:u w:val="none"/>
                <w:lang w:val="en-US" w:eastAsia="zh-CN" w:bidi="ar"/>
              </w:rPr>
            </w:pPr>
            <w:r>
              <w:rPr>
                <w:rFonts w:hint="default" w:ascii="Times New Roman" w:hAnsi="Times New Roman" w:cs="Times New Roman"/>
                <w:i w:val="0"/>
                <w:color w:val="auto"/>
                <w:kern w:val="0"/>
                <w:sz w:val="28"/>
                <w:szCs w:val="28"/>
                <w:highlight w:val="none"/>
                <w:u w:val="none"/>
                <w:lang w:val="en-US" w:eastAsia="zh-CN" w:bidi="ar"/>
              </w:rPr>
              <w:t>0.5</w:t>
            </w:r>
          </w:p>
        </w:tc>
        <w:tc>
          <w:tcPr>
            <w:tcW w:w="14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color w:val="auto"/>
                <w:kern w:val="0"/>
                <w:sz w:val="28"/>
                <w:szCs w:val="28"/>
                <w:highlight w:val="none"/>
                <w:u w:val="none"/>
                <w:lang w:val="en-US" w:eastAsia="zh-CN" w:bidi="ar"/>
              </w:rPr>
            </w:pPr>
            <w:r>
              <w:rPr>
                <w:rFonts w:hint="eastAsia" w:cs="Times New Roman"/>
                <w:i w:val="0"/>
                <w:color w:val="auto"/>
                <w:kern w:val="0"/>
                <w:sz w:val="28"/>
                <w:szCs w:val="28"/>
                <w:highlight w:val="none"/>
                <w:u w:val="none"/>
                <w:lang w:val="en-US" w:eastAsia="zh-CN" w:bidi="ar"/>
              </w:rPr>
              <w:t>2.5</w:t>
            </w:r>
            <w:r>
              <w:rPr>
                <w:rFonts w:hint="default" w:ascii="Times New Roman" w:hAnsi="Times New Roman" w:eastAsia="仿宋_GB2312" w:cs="Times New Roman"/>
                <w:i w:val="0"/>
                <w:color w:val="auto"/>
                <w:kern w:val="0"/>
                <w:sz w:val="28"/>
                <w:szCs w:val="28"/>
                <w:highlight w:val="none"/>
                <w:u w:val="none"/>
                <w:lang w:val="en-US" w:eastAsia="zh-CN" w:bidi="ar"/>
              </w:rPr>
              <w:t>%</w:t>
            </w:r>
          </w:p>
        </w:tc>
        <w:tc>
          <w:tcPr>
            <w:tcW w:w="11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s="Times New Roman"/>
                <w:i w:val="0"/>
                <w:color w:val="auto"/>
                <w:kern w:val="0"/>
                <w:sz w:val="28"/>
                <w:szCs w:val="28"/>
                <w:highlight w:val="none"/>
                <w:u w:val="none"/>
                <w:lang w:val="en-US" w:eastAsia="zh-CN" w:bidi="ar"/>
              </w:rPr>
            </w:pPr>
            <w:r>
              <w:rPr>
                <w:rFonts w:hint="eastAsia" w:cs="Times New Roman"/>
                <w:i w:val="0"/>
                <w:color w:val="auto"/>
                <w:kern w:val="0"/>
                <w:sz w:val="28"/>
                <w:szCs w:val="28"/>
                <w:highlight w:val="none"/>
                <w:u w:val="none"/>
                <w:lang w:val="en-US" w:eastAsia="zh-CN" w:bidi="ar"/>
              </w:rPr>
              <w:t>5</w:t>
            </w:r>
            <w:r>
              <w:rPr>
                <w:rFonts w:hint="default" w:ascii="Times New Roman" w:hAnsi="Times New Roman" w:eastAsia="仿宋_GB2312" w:cs="Times New Roman"/>
                <w:i w:val="0"/>
                <w:color w:val="auto"/>
                <w:kern w:val="0"/>
                <w:sz w:val="28"/>
                <w:szCs w:val="28"/>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151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c>
          <w:tcPr>
            <w:tcW w:w="297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小于90mm（盆径）</w:t>
            </w:r>
          </w:p>
        </w:tc>
        <w:tc>
          <w:tcPr>
            <w:tcW w:w="9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1.00</w:t>
            </w:r>
          </w:p>
        </w:tc>
        <w:tc>
          <w:tcPr>
            <w:tcW w:w="14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color w:val="auto"/>
                <w:kern w:val="0"/>
                <w:sz w:val="28"/>
                <w:szCs w:val="28"/>
                <w:highlight w:val="none"/>
                <w:u w:val="none"/>
                <w:lang w:val="en-US" w:eastAsia="zh-CN" w:bidi="ar"/>
              </w:rPr>
            </w:pPr>
            <w:r>
              <w:rPr>
                <w:rFonts w:hint="eastAsia" w:cs="Times New Roman"/>
                <w:i w:val="0"/>
                <w:color w:val="auto"/>
                <w:kern w:val="0"/>
                <w:sz w:val="28"/>
                <w:szCs w:val="28"/>
                <w:highlight w:val="none"/>
                <w:u w:val="none"/>
                <w:lang w:val="en-US" w:eastAsia="zh-CN" w:bidi="ar"/>
              </w:rPr>
              <w:t>2.5</w:t>
            </w:r>
            <w:r>
              <w:rPr>
                <w:rFonts w:hint="default" w:ascii="Times New Roman" w:hAnsi="Times New Roman" w:eastAsia="仿宋_GB2312" w:cs="Times New Roman"/>
                <w:i w:val="0"/>
                <w:color w:val="auto"/>
                <w:kern w:val="0"/>
                <w:sz w:val="28"/>
                <w:szCs w:val="28"/>
                <w:highlight w:val="none"/>
                <w:u w:val="none"/>
                <w:lang w:val="en-US" w:eastAsia="zh-CN" w:bidi="ar"/>
              </w:rPr>
              <w:t>%</w:t>
            </w:r>
          </w:p>
        </w:tc>
        <w:tc>
          <w:tcPr>
            <w:tcW w:w="11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s="Times New Roman"/>
                <w:i w:val="0"/>
                <w:color w:val="auto"/>
                <w:kern w:val="0"/>
                <w:sz w:val="28"/>
                <w:szCs w:val="28"/>
                <w:highlight w:val="none"/>
                <w:u w:val="none"/>
                <w:lang w:val="en-US" w:eastAsia="zh-CN" w:bidi="ar"/>
              </w:rPr>
            </w:pPr>
            <w:r>
              <w:rPr>
                <w:rFonts w:hint="eastAsia" w:cs="Times New Roman"/>
                <w:i w:val="0"/>
                <w:color w:val="auto"/>
                <w:kern w:val="0"/>
                <w:sz w:val="28"/>
                <w:szCs w:val="28"/>
                <w:highlight w:val="none"/>
                <w:u w:val="none"/>
                <w:lang w:val="en-US" w:eastAsia="zh-CN" w:bidi="ar"/>
              </w:rPr>
              <w:t>5</w:t>
            </w:r>
            <w:r>
              <w:rPr>
                <w:rFonts w:hint="default" w:ascii="Times New Roman" w:hAnsi="Times New Roman" w:eastAsia="仿宋_GB2312" w:cs="Times New Roman"/>
                <w:i w:val="0"/>
                <w:color w:val="auto"/>
                <w:kern w:val="0"/>
                <w:sz w:val="28"/>
                <w:szCs w:val="28"/>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151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c>
          <w:tcPr>
            <w:tcW w:w="297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90mm-140mm（盆径）</w:t>
            </w:r>
          </w:p>
        </w:tc>
        <w:tc>
          <w:tcPr>
            <w:tcW w:w="9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1.25</w:t>
            </w:r>
          </w:p>
        </w:tc>
        <w:tc>
          <w:tcPr>
            <w:tcW w:w="14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color w:val="auto"/>
                <w:kern w:val="0"/>
                <w:sz w:val="28"/>
                <w:szCs w:val="28"/>
                <w:highlight w:val="none"/>
                <w:u w:val="none"/>
                <w:lang w:val="en-US" w:eastAsia="zh-CN" w:bidi="ar"/>
              </w:rPr>
            </w:pPr>
            <w:r>
              <w:rPr>
                <w:rFonts w:hint="eastAsia" w:cs="Times New Roman"/>
                <w:i w:val="0"/>
                <w:color w:val="auto"/>
                <w:kern w:val="0"/>
                <w:sz w:val="28"/>
                <w:szCs w:val="28"/>
                <w:highlight w:val="none"/>
                <w:u w:val="none"/>
                <w:lang w:val="en-US" w:eastAsia="zh-CN" w:bidi="ar"/>
              </w:rPr>
              <w:t>2.5</w:t>
            </w:r>
            <w:r>
              <w:rPr>
                <w:rFonts w:hint="default" w:ascii="Times New Roman" w:hAnsi="Times New Roman" w:eastAsia="仿宋_GB2312" w:cs="Times New Roman"/>
                <w:i w:val="0"/>
                <w:color w:val="auto"/>
                <w:kern w:val="0"/>
                <w:sz w:val="28"/>
                <w:szCs w:val="28"/>
                <w:highlight w:val="none"/>
                <w:u w:val="none"/>
                <w:lang w:val="en-US" w:eastAsia="zh-CN" w:bidi="ar"/>
              </w:rPr>
              <w:t>%</w:t>
            </w:r>
          </w:p>
        </w:tc>
        <w:tc>
          <w:tcPr>
            <w:tcW w:w="11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s="Times New Roman"/>
                <w:i w:val="0"/>
                <w:color w:val="auto"/>
                <w:kern w:val="0"/>
                <w:sz w:val="28"/>
                <w:szCs w:val="28"/>
                <w:highlight w:val="none"/>
                <w:u w:val="none"/>
                <w:lang w:val="en-US" w:eastAsia="zh-CN" w:bidi="ar"/>
              </w:rPr>
            </w:pPr>
            <w:r>
              <w:rPr>
                <w:rFonts w:hint="eastAsia" w:cs="Times New Roman"/>
                <w:i w:val="0"/>
                <w:color w:val="auto"/>
                <w:kern w:val="0"/>
                <w:sz w:val="28"/>
                <w:szCs w:val="28"/>
                <w:highlight w:val="none"/>
                <w:u w:val="none"/>
                <w:lang w:val="en-US" w:eastAsia="zh-CN" w:bidi="ar"/>
              </w:rPr>
              <w:t>5</w:t>
            </w:r>
            <w:r>
              <w:rPr>
                <w:rFonts w:hint="default" w:ascii="Times New Roman" w:hAnsi="Times New Roman" w:eastAsia="仿宋_GB2312" w:cs="Times New Roman"/>
                <w:i w:val="0"/>
                <w:color w:val="auto"/>
                <w:kern w:val="0"/>
                <w:sz w:val="28"/>
                <w:szCs w:val="28"/>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151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c>
          <w:tcPr>
            <w:tcW w:w="297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140mm-190mm（盆径）</w:t>
            </w:r>
          </w:p>
        </w:tc>
        <w:tc>
          <w:tcPr>
            <w:tcW w:w="9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1.5</w:t>
            </w:r>
          </w:p>
        </w:tc>
        <w:tc>
          <w:tcPr>
            <w:tcW w:w="14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color w:val="auto"/>
                <w:kern w:val="0"/>
                <w:sz w:val="28"/>
                <w:szCs w:val="28"/>
                <w:highlight w:val="none"/>
                <w:u w:val="none"/>
                <w:lang w:val="en-US" w:eastAsia="zh-CN" w:bidi="ar"/>
              </w:rPr>
            </w:pPr>
            <w:r>
              <w:rPr>
                <w:rFonts w:hint="eastAsia" w:cs="Times New Roman"/>
                <w:i w:val="0"/>
                <w:color w:val="auto"/>
                <w:kern w:val="0"/>
                <w:sz w:val="28"/>
                <w:szCs w:val="28"/>
                <w:highlight w:val="none"/>
                <w:u w:val="none"/>
                <w:lang w:val="en-US" w:eastAsia="zh-CN" w:bidi="ar"/>
              </w:rPr>
              <w:t>2.5</w:t>
            </w:r>
            <w:r>
              <w:rPr>
                <w:rFonts w:hint="default" w:ascii="Times New Roman" w:hAnsi="Times New Roman" w:eastAsia="仿宋_GB2312" w:cs="Times New Roman"/>
                <w:i w:val="0"/>
                <w:color w:val="auto"/>
                <w:kern w:val="0"/>
                <w:sz w:val="28"/>
                <w:szCs w:val="28"/>
                <w:highlight w:val="none"/>
                <w:u w:val="none"/>
                <w:lang w:val="en-US" w:eastAsia="zh-CN" w:bidi="ar"/>
              </w:rPr>
              <w:t>%</w:t>
            </w:r>
          </w:p>
        </w:tc>
        <w:tc>
          <w:tcPr>
            <w:tcW w:w="11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s="Times New Roman"/>
                <w:i w:val="0"/>
                <w:color w:val="auto"/>
                <w:kern w:val="0"/>
                <w:sz w:val="28"/>
                <w:szCs w:val="28"/>
                <w:highlight w:val="none"/>
                <w:u w:val="none"/>
                <w:lang w:val="en-US" w:eastAsia="zh-CN" w:bidi="ar"/>
              </w:rPr>
            </w:pPr>
            <w:r>
              <w:rPr>
                <w:rFonts w:hint="eastAsia" w:cs="Times New Roman"/>
                <w:i w:val="0"/>
                <w:color w:val="auto"/>
                <w:kern w:val="0"/>
                <w:sz w:val="28"/>
                <w:szCs w:val="28"/>
                <w:highlight w:val="none"/>
                <w:u w:val="none"/>
                <w:lang w:val="en-US" w:eastAsia="zh-CN" w:bidi="ar"/>
              </w:rPr>
              <w:t>5</w:t>
            </w:r>
            <w:r>
              <w:rPr>
                <w:rFonts w:hint="default" w:ascii="Times New Roman" w:hAnsi="Times New Roman" w:eastAsia="仿宋_GB2312" w:cs="Times New Roman"/>
                <w:i w:val="0"/>
                <w:color w:val="auto"/>
                <w:kern w:val="0"/>
                <w:sz w:val="28"/>
                <w:szCs w:val="28"/>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151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c>
          <w:tcPr>
            <w:tcW w:w="297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大于190mm（盆径）</w:t>
            </w:r>
          </w:p>
        </w:tc>
        <w:tc>
          <w:tcPr>
            <w:tcW w:w="9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1.75</w:t>
            </w:r>
          </w:p>
        </w:tc>
        <w:tc>
          <w:tcPr>
            <w:tcW w:w="14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color w:val="auto"/>
                <w:kern w:val="0"/>
                <w:sz w:val="28"/>
                <w:szCs w:val="28"/>
                <w:highlight w:val="none"/>
                <w:u w:val="none"/>
                <w:lang w:val="en-US" w:eastAsia="zh-CN" w:bidi="ar"/>
              </w:rPr>
            </w:pPr>
            <w:r>
              <w:rPr>
                <w:rFonts w:hint="eastAsia" w:cs="Times New Roman"/>
                <w:i w:val="0"/>
                <w:color w:val="auto"/>
                <w:kern w:val="0"/>
                <w:sz w:val="28"/>
                <w:szCs w:val="28"/>
                <w:highlight w:val="none"/>
                <w:u w:val="none"/>
                <w:lang w:val="en-US" w:eastAsia="zh-CN" w:bidi="ar"/>
              </w:rPr>
              <w:t>2.5</w:t>
            </w:r>
            <w:r>
              <w:rPr>
                <w:rFonts w:hint="default" w:ascii="Times New Roman" w:hAnsi="Times New Roman" w:eastAsia="仿宋_GB2312" w:cs="Times New Roman"/>
                <w:i w:val="0"/>
                <w:color w:val="auto"/>
                <w:kern w:val="0"/>
                <w:sz w:val="28"/>
                <w:szCs w:val="28"/>
                <w:highlight w:val="none"/>
                <w:u w:val="none"/>
                <w:lang w:val="en-US" w:eastAsia="zh-CN" w:bidi="ar"/>
              </w:rPr>
              <w:t>%</w:t>
            </w:r>
          </w:p>
        </w:tc>
        <w:tc>
          <w:tcPr>
            <w:tcW w:w="11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s="Times New Roman"/>
                <w:i w:val="0"/>
                <w:color w:val="auto"/>
                <w:kern w:val="0"/>
                <w:sz w:val="28"/>
                <w:szCs w:val="28"/>
                <w:highlight w:val="none"/>
                <w:u w:val="none"/>
                <w:lang w:val="en-US" w:eastAsia="zh-CN" w:bidi="ar"/>
              </w:rPr>
            </w:pPr>
            <w:r>
              <w:rPr>
                <w:rFonts w:hint="eastAsia" w:cs="Times New Roman"/>
                <w:i w:val="0"/>
                <w:color w:val="auto"/>
                <w:kern w:val="0"/>
                <w:sz w:val="28"/>
                <w:szCs w:val="28"/>
                <w:highlight w:val="none"/>
                <w:u w:val="none"/>
                <w:lang w:val="en-US" w:eastAsia="zh-CN" w:bidi="ar"/>
              </w:rPr>
              <w:t>5</w:t>
            </w:r>
            <w:r>
              <w:rPr>
                <w:rFonts w:hint="default" w:ascii="Times New Roman" w:hAnsi="Times New Roman" w:eastAsia="仿宋_GB2312" w:cs="Times New Roman"/>
                <w:i w:val="0"/>
                <w:color w:val="auto"/>
                <w:kern w:val="0"/>
                <w:sz w:val="28"/>
                <w:szCs w:val="28"/>
                <w:highlight w:val="none"/>
                <w:u w:val="none"/>
                <w:lang w:val="en-US" w:eastAsia="zh-CN" w:bidi="ar"/>
              </w:rPr>
              <w:t>%</w:t>
            </w:r>
          </w:p>
        </w:tc>
      </w:tr>
    </w:tbl>
    <w:p>
      <w:pPr>
        <w:pStyle w:val="4"/>
        <w:spacing w:line="560" w:lineRule="exact"/>
        <w:ind w:left="0" w:leftChars="0" w:firstLine="640" w:firstLineChars="200"/>
        <w:outlineLvl w:val="9"/>
        <w:rPr>
          <w:rFonts w:hint="default"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14.种植大棚中简易大棚每亩保险金额5000元、钢结构大棚每亩保险金额18000元、高标钢结构大棚32000元（可购附加险10000元）。</w:t>
      </w:r>
    </w:p>
    <w:tbl>
      <w:tblPr>
        <w:tblStyle w:val="8"/>
        <w:tblpPr w:leftFromText="180" w:rightFromText="180" w:vertAnchor="text" w:horzAnchor="page" w:tblpX="1888" w:tblpY="104"/>
        <w:tblOverlap w:val="never"/>
        <w:tblW w:w="8851" w:type="dxa"/>
        <w:tblInd w:w="0" w:type="dxa"/>
        <w:tblLayout w:type="fixed"/>
        <w:tblCellMar>
          <w:top w:w="0" w:type="dxa"/>
          <w:left w:w="0" w:type="dxa"/>
          <w:bottom w:w="0" w:type="dxa"/>
          <w:right w:w="0" w:type="dxa"/>
        </w:tblCellMar>
      </w:tblPr>
      <w:tblGrid>
        <w:gridCol w:w="3396"/>
        <w:gridCol w:w="2148"/>
        <w:gridCol w:w="1644"/>
        <w:gridCol w:w="1663"/>
      </w:tblGrid>
      <w:tr>
        <w:tblPrEx>
          <w:tblLayout w:type="fixed"/>
          <w:tblCellMar>
            <w:top w:w="0" w:type="dxa"/>
            <w:left w:w="0" w:type="dxa"/>
            <w:bottom w:w="0" w:type="dxa"/>
            <w:right w:w="0" w:type="dxa"/>
          </w:tblCellMar>
        </w:tblPrEx>
        <w:trPr>
          <w:cantSplit/>
          <w:trHeight w:val="567" w:hRule="exact"/>
        </w:trPr>
        <w:tc>
          <w:tcPr>
            <w:tcW w:w="3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b w:val="0"/>
                <w:bCs w:val="0"/>
                <w:i w:val="0"/>
                <w:color w:val="auto"/>
                <w:kern w:val="0"/>
                <w:sz w:val="28"/>
                <w:szCs w:val="28"/>
                <w:highlight w:val="none"/>
                <w:u w:val="none"/>
                <w:lang w:bidi="ar"/>
              </w:rPr>
            </w:pPr>
            <w:r>
              <w:rPr>
                <w:rFonts w:hint="eastAsia" w:ascii="黑体" w:hAnsi="黑体" w:eastAsia="黑体" w:cs="黑体"/>
                <w:b w:val="0"/>
                <w:bCs w:val="0"/>
                <w:i w:val="0"/>
                <w:color w:val="auto"/>
                <w:kern w:val="2"/>
                <w:sz w:val="32"/>
                <w:szCs w:val="32"/>
                <w:highlight w:val="none"/>
                <w:u w:val="none"/>
                <w:lang w:val="en-US" w:eastAsia="zh-CN" w:bidi="ar-SA"/>
              </w:rPr>
              <w:t>险种</w:t>
            </w: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b w:val="0"/>
                <w:bCs w:val="0"/>
                <w:i w:val="0"/>
                <w:color w:val="auto"/>
                <w:kern w:val="0"/>
                <w:sz w:val="28"/>
                <w:szCs w:val="28"/>
                <w:highlight w:val="none"/>
                <w:u w:val="none"/>
                <w:lang w:val="en-US" w:eastAsia="zh-CN" w:bidi="ar"/>
              </w:rPr>
            </w:pPr>
            <w:r>
              <w:rPr>
                <w:rFonts w:hint="eastAsia" w:ascii="黑体" w:hAnsi="黑体" w:eastAsia="黑体" w:cs="黑体"/>
                <w:b w:val="0"/>
                <w:bCs w:val="0"/>
                <w:i w:val="0"/>
                <w:color w:val="auto"/>
                <w:kern w:val="2"/>
                <w:sz w:val="32"/>
                <w:szCs w:val="32"/>
                <w:highlight w:val="none"/>
                <w:u w:val="none"/>
                <w:lang w:val="en-US" w:eastAsia="zh-CN" w:bidi="ar-SA"/>
              </w:rPr>
              <w:t>内容</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b w:val="0"/>
                <w:bCs w:val="0"/>
                <w:i w:val="0"/>
                <w:color w:val="auto"/>
                <w:kern w:val="0"/>
                <w:sz w:val="28"/>
                <w:szCs w:val="28"/>
                <w:highlight w:val="none"/>
                <w:u w:val="none"/>
                <w:lang w:bidi="ar"/>
              </w:rPr>
            </w:pPr>
            <w:r>
              <w:rPr>
                <w:rFonts w:hint="eastAsia" w:ascii="黑体" w:hAnsi="黑体" w:eastAsia="黑体" w:cs="黑体"/>
                <w:b w:val="0"/>
                <w:bCs w:val="0"/>
                <w:i w:val="0"/>
                <w:color w:val="auto"/>
                <w:kern w:val="2"/>
                <w:sz w:val="32"/>
                <w:szCs w:val="32"/>
                <w:highlight w:val="none"/>
                <w:u w:val="none"/>
                <w:lang w:val="en-US" w:eastAsia="zh-CN" w:bidi="ar-SA"/>
              </w:rPr>
              <w:t>保额（元）</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b w:val="0"/>
                <w:bCs w:val="0"/>
                <w:i w:val="0"/>
                <w:color w:val="auto"/>
                <w:kern w:val="0"/>
                <w:sz w:val="28"/>
                <w:szCs w:val="28"/>
                <w:highlight w:val="none"/>
                <w:u w:val="none"/>
                <w:lang w:bidi="ar"/>
              </w:rPr>
            </w:pPr>
            <w:r>
              <w:rPr>
                <w:rFonts w:hint="eastAsia" w:ascii="黑体" w:hAnsi="黑体" w:eastAsia="黑体" w:cs="黑体"/>
                <w:b w:val="0"/>
                <w:bCs w:val="0"/>
                <w:i w:val="0"/>
                <w:color w:val="auto"/>
                <w:kern w:val="2"/>
                <w:sz w:val="32"/>
                <w:szCs w:val="32"/>
                <w:highlight w:val="none"/>
                <w:u w:val="none"/>
                <w:lang w:val="en-US" w:eastAsia="zh-CN" w:bidi="ar-SA"/>
              </w:rPr>
              <w:t>费率</w:t>
            </w:r>
          </w:p>
        </w:tc>
      </w:tr>
      <w:tr>
        <w:tblPrEx>
          <w:tblLayout w:type="fixed"/>
          <w:tblCellMar>
            <w:top w:w="0" w:type="dxa"/>
            <w:left w:w="0" w:type="dxa"/>
            <w:bottom w:w="0" w:type="dxa"/>
            <w:right w:w="0" w:type="dxa"/>
          </w:tblCellMar>
        </w:tblPrEx>
        <w:trPr>
          <w:cantSplit/>
          <w:trHeight w:val="567" w:hRule="exact"/>
        </w:trPr>
        <w:tc>
          <w:tcPr>
            <w:tcW w:w="3396"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eastAsia="仿宋_GB2312" w:cs="Times New Roman"/>
                <w:b/>
                <w:bCs/>
                <w:i w:val="0"/>
                <w:color w:val="auto"/>
                <w:kern w:val="0"/>
                <w:sz w:val="28"/>
                <w:szCs w:val="28"/>
                <w:highlight w:val="none"/>
                <w:u w:val="none"/>
                <w:lang w:val="en-US" w:eastAsia="zh-CN" w:bidi="ar"/>
              </w:rPr>
              <w:t>简易大棚</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default" w:ascii="Times New Roman" w:hAnsi="Times New Roman" w:eastAsia="仿宋_GB2312" w:cs="Times New Roman"/>
                <w:b/>
                <w:bCs/>
                <w:i w:val="0"/>
                <w:color w:val="auto"/>
                <w:kern w:val="0"/>
                <w:sz w:val="28"/>
                <w:szCs w:val="28"/>
                <w:highlight w:val="none"/>
                <w:u w:val="none"/>
                <w:lang w:val="en-US" w:eastAsia="zh-CN" w:bidi="ar"/>
              </w:rPr>
              <w:t>简易大棚</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bidi="ar"/>
              </w:rPr>
            </w:pP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eastAsia="仿宋_GB2312" w:cs="Times New Roman"/>
                <w:b w:val="0"/>
                <w:bCs w:val="0"/>
                <w:i w:val="0"/>
                <w:color w:val="auto"/>
                <w:kern w:val="0"/>
                <w:sz w:val="28"/>
                <w:szCs w:val="28"/>
                <w:highlight w:val="none"/>
                <w:u w:val="none"/>
                <w:lang w:val="en-US" w:eastAsia="zh-CN" w:bidi="ar"/>
              </w:rPr>
              <w:t>棚膜、棚架</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bidi="ar"/>
              </w:rPr>
            </w:pPr>
            <w:r>
              <w:rPr>
                <w:rFonts w:hint="eastAsia" w:eastAsia="仿宋_GB2312" w:cs="Times New Roman"/>
                <w:b/>
                <w:bCs/>
                <w:i w:val="0"/>
                <w:color w:val="auto"/>
                <w:kern w:val="0"/>
                <w:sz w:val="28"/>
                <w:szCs w:val="28"/>
                <w:highlight w:val="none"/>
                <w:u w:val="none"/>
                <w:lang w:val="en-US" w:eastAsia="zh-CN" w:bidi="ar"/>
              </w:rPr>
              <w:t>5</w:t>
            </w:r>
            <w:r>
              <w:rPr>
                <w:rFonts w:hint="default" w:ascii="Times New Roman" w:hAnsi="Times New Roman" w:eastAsia="仿宋_GB2312" w:cs="Times New Roman"/>
                <w:b/>
                <w:bCs/>
                <w:i w:val="0"/>
                <w:color w:val="auto"/>
                <w:kern w:val="0"/>
                <w:sz w:val="28"/>
                <w:szCs w:val="28"/>
                <w:highlight w:val="none"/>
                <w:u w:val="none"/>
                <w:lang w:val="en-US" w:eastAsia="zh-CN" w:bidi="ar"/>
              </w:rPr>
              <w:t>000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bidi="ar"/>
              </w:rPr>
            </w:pPr>
            <w:r>
              <w:rPr>
                <w:rFonts w:hint="eastAsia" w:eastAsia="仿宋_GB2312" w:cs="Times New Roman"/>
                <w:b/>
                <w:bCs/>
                <w:i w:val="0"/>
                <w:color w:val="auto"/>
                <w:kern w:val="0"/>
                <w:sz w:val="28"/>
                <w:szCs w:val="28"/>
                <w:highlight w:val="none"/>
                <w:u w:val="none"/>
                <w:lang w:val="en-US" w:eastAsia="zh-CN" w:bidi="ar"/>
              </w:rPr>
              <w:t>3</w:t>
            </w:r>
            <w:r>
              <w:rPr>
                <w:rFonts w:hint="default" w:ascii="Times New Roman" w:hAnsi="Times New Roman" w:eastAsia="仿宋_GB2312" w:cs="Times New Roman"/>
                <w:b/>
                <w:bCs/>
                <w:i w:val="0"/>
                <w:color w:val="auto"/>
                <w:kern w:val="0"/>
                <w:sz w:val="28"/>
                <w:szCs w:val="28"/>
                <w:highlight w:val="none"/>
                <w:u w:val="none"/>
                <w:lang w:val="en-US" w:eastAsia="zh-CN" w:bidi="ar"/>
              </w:rPr>
              <w:t>%</w:t>
            </w:r>
          </w:p>
        </w:tc>
      </w:tr>
      <w:tr>
        <w:tblPrEx>
          <w:tblLayout w:type="fixed"/>
          <w:tblCellMar>
            <w:top w:w="0" w:type="dxa"/>
            <w:left w:w="0" w:type="dxa"/>
            <w:bottom w:w="0" w:type="dxa"/>
            <w:right w:w="0" w:type="dxa"/>
          </w:tblCellMar>
        </w:tblPrEx>
        <w:trPr>
          <w:cantSplit/>
          <w:trHeight w:val="567" w:hRule="exact"/>
        </w:trPr>
        <w:tc>
          <w:tcPr>
            <w:tcW w:w="3396"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eastAsia="仿宋_GB2312" w:cs="Times New Roman"/>
                <w:b/>
                <w:bCs/>
                <w:i w:val="0"/>
                <w:color w:val="auto"/>
                <w:kern w:val="0"/>
                <w:sz w:val="28"/>
                <w:szCs w:val="28"/>
                <w:highlight w:val="none"/>
                <w:u w:val="none"/>
                <w:lang w:val="en-US" w:eastAsia="zh-CN" w:bidi="ar"/>
              </w:rPr>
              <w:t>钢结构大棚</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default" w:ascii="Times New Roman" w:hAnsi="Times New Roman" w:eastAsia="仿宋_GB2312" w:cs="Times New Roman"/>
                <w:b/>
                <w:bCs/>
                <w:i w:val="0"/>
                <w:color w:val="auto"/>
                <w:kern w:val="0"/>
                <w:sz w:val="28"/>
                <w:szCs w:val="28"/>
                <w:highlight w:val="none"/>
                <w:u w:val="none"/>
                <w:lang w:val="en-US" w:eastAsia="zh-CN" w:bidi="ar"/>
              </w:rPr>
              <w:t>钢结构大棚</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bidi="ar"/>
              </w:rPr>
            </w:pP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eastAsia="仿宋_GB2312" w:cs="Times New Roman"/>
                <w:b w:val="0"/>
                <w:bCs w:val="0"/>
                <w:i w:val="0"/>
                <w:color w:val="auto"/>
                <w:kern w:val="0"/>
                <w:sz w:val="28"/>
                <w:szCs w:val="28"/>
                <w:highlight w:val="none"/>
                <w:u w:val="none"/>
                <w:lang w:val="en-US" w:eastAsia="zh-CN" w:bidi="ar"/>
              </w:rPr>
              <w:t>棚膜、棚架</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bidi="ar"/>
              </w:rPr>
            </w:pPr>
            <w:r>
              <w:rPr>
                <w:rFonts w:hint="eastAsia" w:eastAsia="仿宋_GB2312" w:cs="Times New Roman"/>
                <w:b/>
                <w:bCs/>
                <w:i w:val="0"/>
                <w:color w:val="auto"/>
                <w:kern w:val="0"/>
                <w:sz w:val="28"/>
                <w:szCs w:val="28"/>
                <w:highlight w:val="none"/>
                <w:u w:val="none"/>
                <w:lang w:val="en-US" w:eastAsia="zh-CN" w:bidi="ar"/>
              </w:rPr>
              <w:t>18000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bidi="ar"/>
              </w:rPr>
            </w:pPr>
            <w:r>
              <w:rPr>
                <w:rFonts w:hint="eastAsia" w:eastAsia="仿宋_GB2312" w:cs="Times New Roman"/>
                <w:b/>
                <w:bCs/>
                <w:i w:val="0"/>
                <w:color w:val="auto"/>
                <w:kern w:val="0"/>
                <w:sz w:val="28"/>
                <w:szCs w:val="28"/>
                <w:highlight w:val="none"/>
                <w:u w:val="none"/>
                <w:lang w:val="en-US" w:eastAsia="zh-CN" w:bidi="ar"/>
              </w:rPr>
              <w:t>2.5</w:t>
            </w:r>
            <w:r>
              <w:rPr>
                <w:rFonts w:hint="default" w:ascii="Times New Roman" w:hAnsi="Times New Roman" w:eastAsia="仿宋_GB2312" w:cs="Times New Roman"/>
                <w:b/>
                <w:bCs/>
                <w:i w:val="0"/>
                <w:color w:val="auto"/>
                <w:kern w:val="0"/>
                <w:sz w:val="28"/>
                <w:szCs w:val="28"/>
                <w:highlight w:val="none"/>
                <w:u w:val="none"/>
                <w:lang w:val="en-US" w:eastAsia="zh-CN" w:bidi="ar"/>
              </w:rPr>
              <w:t>%</w:t>
            </w:r>
          </w:p>
        </w:tc>
      </w:tr>
      <w:tr>
        <w:tblPrEx>
          <w:tblLayout w:type="fixed"/>
          <w:tblCellMar>
            <w:top w:w="0" w:type="dxa"/>
            <w:left w:w="0" w:type="dxa"/>
            <w:bottom w:w="0" w:type="dxa"/>
            <w:right w:w="0" w:type="dxa"/>
          </w:tblCellMar>
        </w:tblPrEx>
        <w:trPr>
          <w:cantSplit/>
          <w:trHeight w:val="678" w:hRule="exact"/>
        </w:trPr>
        <w:tc>
          <w:tcPr>
            <w:tcW w:w="339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default" w:ascii="Times New Roman" w:hAnsi="Times New Roman" w:eastAsia="仿宋_GB2312" w:cs="Times New Roman"/>
                <w:b/>
                <w:bCs/>
                <w:i w:val="0"/>
                <w:color w:val="auto"/>
                <w:kern w:val="0"/>
                <w:sz w:val="28"/>
                <w:szCs w:val="28"/>
                <w:highlight w:val="none"/>
                <w:u w:val="none"/>
                <w:lang w:val="en-US" w:eastAsia="zh-CN" w:bidi="ar"/>
              </w:rPr>
              <w:t>高标钢构大棚（主险）</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eastAsia="仿宋_GB2312" w:cs="Times New Roman"/>
                <w:b w:val="0"/>
                <w:bCs w:val="0"/>
                <w:i w:val="0"/>
                <w:color w:val="auto"/>
                <w:kern w:val="0"/>
                <w:sz w:val="28"/>
                <w:szCs w:val="28"/>
                <w:highlight w:val="none"/>
                <w:u w:val="none"/>
                <w:lang w:val="en-US" w:eastAsia="zh-CN" w:bidi="ar"/>
              </w:rPr>
              <w:t>棚膜、棚架</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eastAsia="仿宋_GB2312" w:cs="Times New Roman"/>
                <w:b/>
                <w:bCs/>
                <w:i w:val="0"/>
                <w:color w:val="auto"/>
                <w:kern w:val="0"/>
                <w:sz w:val="28"/>
                <w:szCs w:val="28"/>
                <w:highlight w:val="none"/>
                <w:u w:val="none"/>
                <w:lang w:val="en-US" w:eastAsia="zh-CN" w:bidi="ar"/>
              </w:rPr>
              <w:t>32000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default" w:ascii="Times New Roman" w:hAnsi="Times New Roman" w:eastAsia="仿宋_GB2312" w:cs="Times New Roman"/>
                <w:b/>
                <w:bCs/>
                <w:i w:val="0"/>
                <w:color w:val="auto"/>
                <w:kern w:val="0"/>
                <w:sz w:val="28"/>
                <w:szCs w:val="28"/>
                <w:highlight w:val="none"/>
                <w:u w:val="none"/>
                <w:lang w:val="en-US" w:eastAsia="zh-CN" w:bidi="ar"/>
              </w:rPr>
              <w:t>2</w:t>
            </w:r>
            <w:r>
              <w:rPr>
                <w:rFonts w:hint="eastAsia" w:eastAsia="仿宋_GB2312" w:cs="Times New Roman"/>
                <w:b/>
                <w:bCs/>
                <w:i w:val="0"/>
                <w:color w:val="auto"/>
                <w:kern w:val="0"/>
                <w:sz w:val="28"/>
                <w:szCs w:val="28"/>
                <w:highlight w:val="none"/>
                <w:u w:val="none"/>
                <w:lang w:val="en-US" w:eastAsia="zh-CN" w:bidi="ar"/>
              </w:rPr>
              <w:t>.5</w:t>
            </w:r>
            <w:r>
              <w:rPr>
                <w:rFonts w:hint="default" w:ascii="Times New Roman" w:hAnsi="Times New Roman" w:eastAsia="仿宋_GB2312" w:cs="Times New Roman"/>
                <w:b/>
                <w:bCs/>
                <w:i w:val="0"/>
                <w:color w:val="auto"/>
                <w:kern w:val="0"/>
                <w:sz w:val="28"/>
                <w:szCs w:val="28"/>
                <w:highlight w:val="none"/>
                <w:u w:val="none"/>
                <w:lang w:val="en-US" w:eastAsia="zh-CN" w:bidi="ar"/>
              </w:rPr>
              <w:t>%</w:t>
            </w:r>
          </w:p>
        </w:tc>
      </w:tr>
      <w:tr>
        <w:tblPrEx>
          <w:tblLayout w:type="fixed"/>
          <w:tblCellMar>
            <w:top w:w="0" w:type="dxa"/>
            <w:left w:w="0" w:type="dxa"/>
            <w:bottom w:w="0" w:type="dxa"/>
            <w:right w:w="0" w:type="dxa"/>
          </w:tblCellMar>
        </w:tblPrEx>
        <w:trPr>
          <w:cantSplit/>
          <w:trHeight w:val="687" w:hRule="exact"/>
        </w:trPr>
        <w:tc>
          <w:tcPr>
            <w:tcW w:w="3396"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Cs/>
                <w:i w:val="0"/>
                <w:color w:val="auto"/>
                <w:kern w:val="0"/>
                <w:sz w:val="28"/>
                <w:szCs w:val="28"/>
                <w:highlight w:val="none"/>
                <w:u w:val="none"/>
                <w:lang w:val="en-US" w:eastAsia="zh-CN" w:bidi="ar"/>
              </w:rPr>
            </w:pPr>
            <w:r>
              <w:rPr>
                <w:rFonts w:hint="default" w:ascii="Times New Roman" w:hAnsi="Times New Roman" w:eastAsia="仿宋_GB2312" w:cs="Times New Roman"/>
                <w:bCs/>
                <w:i w:val="0"/>
                <w:color w:val="auto"/>
                <w:kern w:val="0"/>
                <w:sz w:val="28"/>
                <w:szCs w:val="28"/>
                <w:highlight w:val="none"/>
                <w:u w:val="none"/>
                <w:lang w:val="en-US" w:eastAsia="zh-CN" w:bidi="ar"/>
              </w:rPr>
              <w:t>棚膜及遮阳网</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Cs/>
                <w:i w:val="0"/>
                <w:color w:val="auto"/>
                <w:kern w:val="0"/>
                <w:sz w:val="28"/>
                <w:szCs w:val="28"/>
                <w:highlight w:val="none"/>
                <w:u w:val="none"/>
                <w:lang w:val="en-US" w:eastAsia="zh-CN" w:bidi="ar"/>
              </w:rPr>
            </w:pPr>
            <w:r>
              <w:rPr>
                <w:rFonts w:hint="default" w:ascii="Times New Roman" w:hAnsi="Times New Roman" w:eastAsia="仿宋_GB2312" w:cs="Times New Roman"/>
                <w:bCs/>
                <w:i w:val="0"/>
                <w:color w:val="auto"/>
                <w:kern w:val="0"/>
                <w:sz w:val="28"/>
                <w:szCs w:val="28"/>
                <w:highlight w:val="none"/>
                <w:u w:val="none"/>
                <w:lang w:val="en-US" w:eastAsia="zh-CN" w:bidi="ar"/>
              </w:rPr>
              <w:t>2000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Cs/>
                <w:i w:val="0"/>
                <w:color w:val="auto"/>
                <w:kern w:val="0"/>
                <w:sz w:val="28"/>
                <w:szCs w:val="28"/>
                <w:highlight w:val="none"/>
                <w:u w:val="none"/>
                <w:lang w:val="en-US" w:eastAsia="zh-CN" w:bidi="ar"/>
              </w:rPr>
            </w:pPr>
            <w:r>
              <w:rPr>
                <w:rFonts w:hint="default" w:ascii="Times New Roman" w:hAnsi="Times New Roman" w:eastAsia="仿宋_GB2312" w:cs="Times New Roman"/>
                <w:bCs/>
                <w:i w:val="0"/>
                <w:color w:val="auto"/>
                <w:kern w:val="0"/>
                <w:sz w:val="28"/>
                <w:szCs w:val="28"/>
                <w:highlight w:val="none"/>
                <w:u w:val="none"/>
                <w:lang w:val="en-US" w:eastAsia="zh-CN" w:bidi="ar"/>
              </w:rPr>
              <w:t>10%</w:t>
            </w:r>
          </w:p>
        </w:tc>
      </w:tr>
      <w:tr>
        <w:tblPrEx>
          <w:tblLayout w:type="fixed"/>
          <w:tblCellMar>
            <w:top w:w="0" w:type="dxa"/>
            <w:left w:w="0" w:type="dxa"/>
            <w:bottom w:w="0" w:type="dxa"/>
            <w:right w:w="0" w:type="dxa"/>
          </w:tblCellMar>
        </w:tblPrEx>
        <w:trPr>
          <w:cantSplit/>
          <w:trHeight w:val="992" w:hRule="exact"/>
        </w:trPr>
        <w:tc>
          <w:tcPr>
            <w:tcW w:w="339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bCs/>
                <w:i w:val="0"/>
                <w:color w:val="auto"/>
                <w:kern w:val="0"/>
                <w:sz w:val="28"/>
                <w:szCs w:val="28"/>
                <w:highlight w:val="none"/>
                <w:u w:val="none"/>
                <w:lang w:val="en-US" w:eastAsia="zh-CN" w:bidi="ar"/>
              </w:rPr>
            </w:pPr>
            <w:r>
              <w:rPr>
                <w:rFonts w:hint="default" w:ascii="Times New Roman" w:hAnsi="Times New Roman" w:eastAsia="仿宋_GB2312" w:cs="Times New Roman"/>
                <w:bCs/>
                <w:i w:val="0"/>
                <w:color w:val="auto"/>
                <w:kern w:val="0"/>
                <w:sz w:val="28"/>
                <w:szCs w:val="28"/>
                <w:highlight w:val="none"/>
                <w:u w:val="none"/>
                <w:lang w:val="en-US" w:eastAsia="zh-CN" w:bidi="ar"/>
              </w:rPr>
              <w:t xml:space="preserve">棚架及主体  </w:t>
            </w:r>
            <w:r>
              <w:rPr>
                <w:rFonts w:hint="eastAsia" w:ascii="Times New Roman" w:hAnsi="Times New Roman" w:eastAsia="仿宋_GB2312" w:cs="Times New Roman"/>
                <w:bCs/>
                <w:i w:val="0"/>
                <w:color w:val="auto"/>
                <w:kern w:val="0"/>
                <w:sz w:val="28"/>
                <w:szCs w:val="28"/>
                <w:highlight w:val="none"/>
                <w:u w:val="none"/>
                <w:lang w:val="en-US" w:eastAsia="zh-CN" w:bidi="ar"/>
              </w:rPr>
              <w:t xml:space="preserve">  </w:t>
            </w:r>
            <w:r>
              <w:rPr>
                <w:rFonts w:hint="default" w:ascii="Times New Roman" w:hAnsi="Times New Roman" w:eastAsia="仿宋_GB2312" w:cs="Times New Roman"/>
                <w:bCs/>
                <w:i w:val="0"/>
                <w:color w:val="auto"/>
                <w:kern w:val="0"/>
                <w:sz w:val="28"/>
                <w:szCs w:val="28"/>
                <w:highlight w:val="none"/>
                <w:u w:val="none"/>
                <w:lang w:val="en-US" w:eastAsia="zh-CN" w:bidi="ar"/>
              </w:rPr>
              <w:t>承重结构</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Cs/>
                <w:i w:val="0"/>
                <w:color w:val="auto"/>
                <w:kern w:val="0"/>
                <w:sz w:val="28"/>
                <w:szCs w:val="28"/>
                <w:highlight w:val="none"/>
                <w:u w:val="none"/>
                <w:lang w:val="en-US" w:eastAsia="zh-CN" w:bidi="ar"/>
              </w:rPr>
            </w:pPr>
            <w:r>
              <w:rPr>
                <w:rFonts w:hint="default" w:ascii="Times New Roman" w:hAnsi="Times New Roman" w:eastAsia="仿宋_GB2312" w:cs="Times New Roman"/>
                <w:bCs/>
                <w:i w:val="0"/>
                <w:color w:val="auto"/>
                <w:kern w:val="0"/>
                <w:sz w:val="28"/>
                <w:szCs w:val="28"/>
                <w:highlight w:val="none"/>
                <w:u w:val="none"/>
                <w:lang w:val="en-US" w:eastAsia="zh-CN" w:bidi="ar"/>
              </w:rPr>
              <w:t>30000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Cs/>
                <w:i w:val="0"/>
                <w:color w:val="auto"/>
                <w:kern w:val="0"/>
                <w:sz w:val="28"/>
                <w:szCs w:val="28"/>
                <w:highlight w:val="none"/>
                <w:u w:val="none"/>
                <w:lang w:val="en-US" w:eastAsia="zh-CN" w:bidi="ar"/>
              </w:rPr>
            </w:pPr>
            <w:r>
              <w:rPr>
                <w:rFonts w:hint="default" w:ascii="Times New Roman" w:hAnsi="Times New Roman" w:eastAsia="仿宋_GB2312" w:cs="Times New Roman"/>
                <w:bCs/>
                <w:i w:val="0"/>
                <w:color w:val="auto"/>
                <w:kern w:val="0"/>
                <w:sz w:val="28"/>
                <w:szCs w:val="28"/>
                <w:highlight w:val="none"/>
                <w:u w:val="none"/>
                <w:lang w:val="en-US" w:eastAsia="zh-CN" w:bidi="ar"/>
              </w:rPr>
              <w:t>2%</w:t>
            </w:r>
          </w:p>
        </w:tc>
      </w:tr>
      <w:tr>
        <w:tblPrEx>
          <w:tblLayout w:type="fixed"/>
          <w:tblCellMar>
            <w:top w:w="0" w:type="dxa"/>
            <w:left w:w="0" w:type="dxa"/>
            <w:bottom w:w="0" w:type="dxa"/>
            <w:right w:w="0" w:type="dxa"/>
          </w:tblCellMar>
        </w:tblPrEx>
        <w:trPr>
          <w:cantSplit/>
          <w:trHeight w:val="665" w:hRule="atLeast"/>
        </w:trPr>
        <w:tc>
          <w:tcPr>
            <w:tcW w:w="3396" w:type="dxa"/>
            <w:vMerge w:val="restart"/>
            <w:tcBorders>
              <w:top w:val="single" w:color="000000" w:sz="4" w:space="0"/>
              <w:left w:val="single" w:color="000000" w:sz="4" w:space="0"/>
              <w:right w:val="single" w:color="000000" w:sz="4" w:space="0"/>
            </w:tcBorders>
            <w:tcMar>
              <w:top w:w="15" w:type="dxa"/>
              <w:left w:w="15" w:type="dxa"/>
              <w:right w:w="15" w:type="dxa"/>
            </w:tcMar>
            <w:vAlign w:val="bottom"/>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default" w:ascii="Times New Roman" w:hAnsi="Times New Roman" w:eastAsia="仿宋_GB2312" w:cs="Times New Roman"/>
                <w:b/>
                <w:bCs/>
                <w:i w:val="0"/>
                <w:color w:val="auto"/>
                <w:kern w:val="0"/>
                <w:sz w:val="28"/>
                <w:szCs w:val="28"/>
                <w:highlight w:val="none"/>
                <w:u w:val="none"/>
                <w:lang w:val="en-US" w:eastAsia="zh-CN" w:bidi="ar"/>
              </w:rPr>
              <w:t>高标钢构大棚（附加险）</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default" w:ascii="Times New Roman" w:hAnsi="Times New Roman" w:eastAsia="仿宋_GB2312" w:cs="Times New Roman"/>
                <w:b/>
                <w:bCs/>
                <w:i w:val="0"/>
                <w:color w:val="auto"/>
                <w:kern w:val="0"/>
                <w:sz w:val="28"/>
                <w:szCs w:val="28"/>
                <w:highlight w:val="none"/>
                <w:u w:val="none"/>
                <w:lang w:val="en-US" w:eastAsia="zh-CN" w:bidi="ar"/>
              </w:rPr>
              <w:t>合计</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default" w:ascii="Times New Roman" w:hAnsi="Times New Roman" w:eastAsia="仿宋_GB2312" w:cs="Times New Roman"/>
                <w:b/>
                <w:bCs/>
                <w:i w:val="0"/>
                <w:color w:val="auto"/>
                <w:kern w:val="0"/>
                <w:sz w:val="28"/>
                <w:szCs w:val="28"/>
                <w:highlight w:val="none"/>
                <w:u w:val="none"/>
                <w:lang w:val="en-US" w:eastAsia="zh-CN" w:bidi="ar"/>
              </w:rPr>
              <w:t>10000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eastAsia="仿宋_GB2312" w:cs="Times New Roman"/>
                <w:b/>
                <w:bCs/>
                <w:i w:val="0"/>
                <w:color w:val="auto"/>
                <w:kern w:val="0"/>
                <w:sz w:val="28"/>
                <w:szCs w:val="28"/>
                <w:highlight w:val="none"/>
                <w:u w:val="none"/>
                <w:lang w:val="en-US" w:eastAsia="zh-CN" w:bidi="ar"/>
              </w:rPr>
              <w:t>5</w:t>
            </w:r>
            <w:r>
              <w:rPr>
                <w:rFonts w:hint="default" w:ascii="Times New Roman" w:hAnsi="Times New Roman" w:eastAsia="仿宋_GB2312" w:cs="Times New Roman"/>
                <w:b/>
                <w:bCs/>
                <w:i w:val="0"/>
                <w:color w:val="auto"/>
                <w:kern w:val="0"/>
                <w:sz w:val="28"/>
                <w:szCs w:val="28"/>
                <w:highlight w:val="none"/>
                <w:u w:val="none"/>
                <w:lang w:val="en-US" w:eastAsia="zh-CN" w:bidi="ar"/>
              </w:rPr>
              <w:t>%</w:t>
            </w:r>
          </w:p>
        </w:tc>
      </w:tr>
      <w:tr>
        <w:tblPrEx>
          <w:tblLayout w:type="fixed"/>
          <w:tblCellMar>
            <w:top w:w="0" w:type="dxa"/>
            <w:left w:w="0" w:type="dxa"/>
            <w:bottom w:w="0" w:type="dxa"/>
            <w:right w:w="0" w:type="dxa"/>
          </w:tblCellMar>
        </w:tblPrEx>
        <w:trPr>
          <w:cantSplit/>
          <w:trHeight w:val="662" w:hRule="atLeast"/>
        </w:trPr>
        <w:tc>
          <w:tcPr>
            <w:tcW w:w="3396"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Cs/>
                <w:i w:val="0"/>
                <w:color w:val="auto"/>
                <w:kern w:val="0"/>
                <w:sz w:val="28"/>
                <w:szCs w:val="28"/>
                <w:highlight w:val="none"/>
                <w:u w:val="none"/>
                <w:lang w:val="en-US" w:eastAsia="zh-CN" w:bidi="ar"/>
              </w:rPr>
            </w:pP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Cs/>
                <w:i w:val="0"/>
                <w:color w:val="auto"/>
                <w:kern w:val="0"/>
                <w:sz w:val="28"/>
                <w:szCs w:val="28"/>
                <w:highlight w:val="none"/>
                <w:u w:val="none"/>
                <w:lang w:val="en-US" w:eastAsia="zh-CN" w:bidi="ar"/>
              </w:rPr>
            </w:pPr>
            <w:r>
              <w:rPr>
                <w:rFonts w:hint="default" w:ascii="Times New Roman" w:hAnsi="Times New Roman" w:eastAsia="仿宋_GB2312" w:cs="Times New Roman"/>
                <w:bCs/>
                <w:i w:val="0"/>
                <w:color w:val="auto"/>
                <w:kern w:val="0"/>
                <w:sz w:val="28"/>
                <w:szCs w:val="28"/>
                <w:highlight w:val="none"/>
                <w:u w:val="none"/>
                <w:lang w:val="en-US" w:eastAsia="zh-CN" w:bidi="ar"/>
              </w:rPr>
              <w:t>光线传感系统</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Cs/>
                <w:i w:val="0"/>
                <w:color w:val="auto"/>
                <w:kern w:val="0"/>
                <w:sz w:val="28"/>
                <w:szCs w:val="28"/>
                <w:highlight w:val="none"/>
                <w:u w:val="none"/>
                <w:lang w:val="en-US" w:eastAsia="zh-CN" w:bidi="ar"/>
              </w:rPr>
            </w:pPr>
            <w:r>
              <w:rPr>
                <w:rFonts w:hint="default" w:ascii="Times New Roman" w:hAnsi="Times New Roman" w:eastAsia="仿宋_GB2312" w:cs="Times New Roman"/>
                <w:bCs/>
                <w:i w:val="0"/>
                <w:color w:val="auto"/>
                <w:kern w:val="0"/>
                <w:sz w:val="28"/>
                <w:szCs w:val="28"/>
                <w:highlight w:val="none"/>
                <w:u w:val="none"/>
                <w:lang w:val="en-US" w:eastAsia="zh-CN" w:bidi="ar"/>
              </w:rPr>
              <w:t>4000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Cs/>
                <w:i w:val="0"/>
                <w:color w:val="auto"/>
                <w:kern w:val="0"/>
                <w:sz w:val="28"/>
                <w:szCs w:val="28"/>
                <w:highlight w:val="none"/>
                <w:u w:val="none"/>
                <w:lang w:val="en-US" w:eastAsia="zh-CN" w:bidi="ar"/>
              </w:rPr>
            </w:pPr>
            <w:r>
              <w:rPr>
                <w:rFonts w:hint="eastAsia" w:eastAsia="仿宋_GB2312" w:cs="Times New Roman"/>
                <w:bCs/>
                <w:i w:val="0"/>
                <w:color w:val="auto"/>
                <w:kern w:val="0"/>
                <w:sz w:val="28"/>
                <w:szCs w:val="28"/>
                <w:highlight w:val="none"/>
                <w:u w:val="none"/>
                <w:lang w:val="en-US" w:eastAsia="zh-CN" w:bidi="ar"/>
              </w:rPr>
              <w:t>8</w:t>
            </w:r>
            <w:r>
              <w:rPr>
                <w:rFonts w:hint="default" w:ascii="Times New Roman" w:hAnsi="Times New Roman" w:eastAsia="仿宋_GB2312" w:cs="Times New Roman"/>
                <w:bCs/>
                <w:i w:val="0"/>
                <w:color w:val="auto"/>
                <w:kern w:val="0"/>
                <w:sz w:val="28"/>
                <w:szCs w:val="28"/>
                <w:highlight w:val="none"/>
                <w:u w:val="none"/>
                <w:lang w:val="en-US" w:eastAsia="zh-CN" w:bidi="ar"/>
              </w:rPr>
              <w:t>%</w:t>
            </w:r>
          </w:p>
        </w:tc>
      </w:tr>
      <w:tr>
        <w:tblPrEx>
          <w:tblLayout w:type="fixed"/>
          <w:tblCellMar>
            <w:top w:w="0" w:type="dxa"/>
            <w:left w:w="0" w:type="dxa"/>
            <w:bottom w:w="0" w:type="dxa"/>
            <w:right w:w="0" w:type="dxa"/>
          </w:tblCellMar>
        </w:tblPrEx>
        <w:trPr>
          <w:cantSplit/>
          <w:trHeight w:val="850" w:hRule="atLeast"/>
        </w:trPr>
        <w:tc>
          <w:tcPr>
            <w:tcW w:w="3396"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Cs/>
                <w:i w:val="0"/>
                <w:color w:val="auto"/>
                <w:kern w:val="0"/>
                <w:sz w:val="28"/>
                <w:szCs w:val="28"/>
                <w:highlight w:val="none"/>
                <w:u w:val="none"/>
                <w:lang w:val="en-US" w:eastAsia="zh-CN" w:bidi="ar"/>
              </w:rPr>
            </w:pP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bCs/>
                <w:i w:val="0"/>
                <w:color w:val="auto"/>
                <w:kern w:val="0"/>
                <w:sz w:val="28"/>
                <w:szCs w:val="28"/>
                <w:highlight w:val="none"/>
                <w:u w:val="none"/>
                <w:lang w:val="en-US" w:eastAsia="zh-CN" w:bidi="ar"/>
              </w:rPr>
            </w:pPr>
            <w:r>
              <w:rPr>
                <w:rFonts w:hint="default" w:ascii="Times New Roman" w:hAnsi="Times New Roman" w:eastAsia="仿宋_GB2312" w:cs="Times New Roman"/>
                <w:bCs/>
                <w:i w:val="0"/>
                <w:color w:val="auto"/>
                <w:kern w:val="0"/>
                <w:sz w:val="28"/>
                <w:szCs w:val="28"/>
                <w:highlight w:val="none"/>
                <w:u w:val="none"/>
                <w:lang w:val="en-US" w:eastAsia="zh-CN" w:bidi="ar"/>
              </w:rPr>
              <w:t>温控系统 （空调、风机、水帘）</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Cs/>
                <w:i w:val="0"/>
                <w:color w:val="auto"/>
                <w:kern w:val="0"/>
                <w:sz w:val="28"/>
                <w:szCs w:val="28"/>
                <w:highlight w:val="none"/>
                <w:u w:val="none"/>
                <w:lang w:val="en-US" w:eastAsia="zh-CN" w:bidi="ar"/>
              </w:rPr>
            </w:pPr>
            <w:r>
              <w:rPr>
                <w:rFonts w:hint="default" w:ascii="Times New Roman" w:hAnsi="Times New Roman" w:eastAsia="仿宋_GB2312" w:cs="Times New Roman"/>
                <w:bCs/>
                <w:i w:val="0"/>
                <w:color w:val="auto"/>
                <w:kern w:val="0"/>
                <w:sz w:val="28"/>
                <w:szCs w:val="28"/>
                <w:highlight w:val="none"/>
                <w:u w:val="none"/>
                <w:lang w:val="en-US" w:eastAsia="zh-CN" w:bidi="ar"/>
              </w:rPr>
              <w:t>4000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Cs/>
                <w:i w:val="0"/>
                <w:color w:val="auto"/>
                <w:kern w:val="0"/>
                <w:sz w:val="28"/>
                <w:szCs w:val="28"/>
                <w:highlight w:val="none"/>
                <w:u w:val="none"/>
                <w:lang w:val="en-US" w:eastAsia="zh-CN" w:bidi="ar"/>
              </w:rPr>
            </w:pPr>
            <w:r>
              <w:rPr>
                <w:rFonts w:hint="eastAsia" w:eastAsia="仿宋_GB2312" w:cs="Times New Roman"/>
                <w:bCs/>
                <w:i w:val="0"/>
                <w:color w:val="auto"/>
                <w:kern w:val="0"/>
                <w:sz w:val="28"/>
                <w:szCs w:val="28"/>
                <w:highlight w:val="none"/>
                <w:u w:val="none"/>
                <w:lang w:val="en-US" w:eastAsia="zh-CN" w:bidi="ar"/>
              </w:rPr>
              <w:t>3</w:t>
            </w:r>
            <w:r>
              <w:rPr>
                <w:rFonts w:hint="default" w:ascii="Times New Roman" w:hAnsi="Times New Roman" w:eastAsia="仿宋_GB2312" w:cs="Times New Roman"/>
                <w:bCs/>
                <w:i w:val="0"/>
                <w:color w:val="auto"/>
                <w:kern w:val="0"/>
                <w:sz w:val="28"/>
                <w:szCs w:val="28"/>
                <w:highlight w:val="none"/>
                <w:u w:val="none"/>
                <w:lang w:val="en-US" w:eastAsia="zh-CN" w:bidi="ar"/>
              </w:rPr>
              <w:t>%</w:t>
            </w:r>
          </w:p>
        </w:tc>
      </w:tr>
      <w:tr>
        <w:tblPrEx>
          <w:tblLayout w:type="fixed"/>
          <w:tblCellMar>
            <w:top w:w="0" w:type="dxa"/>
            <w:left w:w="0" w:type="dxa"/>
            <w:bottom w:w="0" w:type="dxa"/>
            <w:right w:w="0" w:type="dxa"/>
          </w:tblCellMar>
        </w:tblPrEx>
        <w:trPr>
          <w:trHeight w:val="850" w:hRule="atLeast"/>
        </w:trPr>
        <w:tc>
          <w:tcPr>
            <w:tcW w:w="339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Cs/>
                <w:i w:val="0"/>
                <w:color w:val="auto"/>
                <w:kern w:val="0"/>
                <w:sz w:val="28"/>
                <w:szCs w:val="28"/>
                <w:highlight w:val="none"/>
                <w:u w:val="none"/>
                <w:lang w:val="en-US" w:eastAsia="zh-CN" w:bidi="ar"/>
              </w:rPr>
            </w:pP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Cs/>
                <w:i w:val="0"/>
                <w:color w:val="auto"/>
                <w:kern w:val="0"/>
                <w:sz w:val="28"/>
                <w:szCs w:val="28"/>
                <w:highlight w:val="none"/>
                <w:u w:val="none"/>
                <w:lang w:val="en-US" w:eastAsia="zh-CN" w:bidi="ar"/>
              </w:rPr>
            </w:pPr>
            <w:r>
              <w:rPr>
                <w:rFonts w:hint="default" w:ascii="Times New Roman" w:hAnsi="Times New Roman" w:eastAsia="仿宋_GB2312" w:cs="Times New Roman"/>
                <w:bCs/>
                <w:i w:val="0"/>
                <w:color w:val="auto"/>
                <w:kern w:val="0"/>
                <w:sz w:val="28"/>
                <w:szCs w:val="28"/>
                <w:highlight w:val="none"/>
                <w:u w:val="none"/>
                <w:lang w:val="en-US" w:eastAsia="zh-CN" w:bidi="ar"/>
              </w:rPr>
              <w:t>喷雾系统</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Cs/>
                <w:i w:val="0"/>
                <w:color w:val="auto"/>
                <w:kern w:val="0"/>
                <w:sz w:val="28"/>
                <w:szCs w:val="28"/>
                <w:highlight w:val="none"/>
                <w:u w:val="none"/>
                <w:lang w:val="en-US" w:eastAsia="zh-CN" w:bidi="ar"/>
              </w:rPr>
            </w:pPr>
            <w:r>
              <w:rPr>
                <w:rFonts w:hint="default" w:ascii="Times New Roman" w:hAnsi="Times New Roman" w:eastAsia="仿宋_GB2312" w:cs="Times New Roman"/>
                <w:bCs/>
                <w:i w:val="0"/>
                <w:color w:val="auto"/>
                <w:kern w:val="0"/>
                <w:sz w:val="28"/>
                <w:szCs w:val="28"/>
                <w:highlight w:val="none"/>
                <w:u w:val="none"/>
                <w:lang w:val="en-US" w:eastAsia="zh-CN" w:bidi="ar"/>
              </w:rPr>
              <w:t>2000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Cs/>
                <w:i w:val="0"/>
                <w:color w:val="auto"/>
                <w:kern w:val="0"/>
                <w:sz w:val="28"/>
                <w:szCs w:val="28"/>
                <w:highlight w:val="none"/>
                <w:u w:val="none"/>
                <w:lang w:val="en-US" w:eastAsia="zh-CN" w:bidi="ar"/>
              </w:rPr>
            </w:pPr>
            <w:r>
              <w:rPr>
                <w:rFonts w:hint="eastAsia" w:eastAsia="仿宋_GB2312" w:cs="Times New Roman"/>
                <w:bCs/>
                <w:i w:val="0"/>
                <w:color w:val="auto"/>
                <w:kern w:val="0"/>
                <w:sz w:val="28"/>
                <w:szCs w:val="28"/>
                <w:highlight w:val="none"/>
                <w:u w:val="none"/>
                <w:lang w:val="en-US" w:eastAsia="zh-CN" w:bidi="ar"/>
              </w:rPr>
              <w:t>3</w:t>
            </w:r>
            <w:r>
              <w:rPr>
                <w:rFonts w:hint="default" w:ascii="Times New Roman" w:hAnsi="Times New Roman" w:eastAsia="仿宋_GB2312" w:cs="Times New Roman"/>
                <w:bCs/>
                <w:i w:val="0"/>
                <w:color w:val="auto"/>
                <w:kern w:val="0"/>
                <w:sz w:val="28"/>
                <w:szCs w:val="28"/>
                <w:highlight w:val="none"/>
                <w:u w:val="none"/>
                <w:lang w:val="en-US" w:eastAsia="zh-CN" w:bidi="ar"/>
              </w:rPr>
              <w:t>%</w:t>
            </w:r>
          </w:p>
        </w:tc>
      </w:tr>
    </w:tbl>
    <w:p>
      <w:pPr>
        <w:pStyle w:val="4"/>
        <w:numPr>
          <w:ilvl w:val="0"/>
          <w:numId w:val="0"/>
        </w:numPr>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注：种植大棚的棚架和棚膜必须同时投保，不单独投保。</w:t>
      </w:r>
    </w:p>
    <w:p>
      <w:pPr>
        <w:pStyle w:val="4"/>
        <w:numPr>
          <w:ilvl w:val="0"/>
          <w:numId w:val="0"/>
        </w:numPr>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15.肉鸡养殖保险每批每只保险金额30元，费率1.8%。</w:t>
      </w:r>
    </w:p>
    <w:p>
      <w:pPr>
        <w:pStyle w:val="4"/>
        <w:numPr>
          <w:ilvl w:val="0"/>
          <w:numId w:val="0"/>
        </w:numPr>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16.肉鸭养殖保险每批每只保险金额30元，费率1.5%。</w:t>
      </w:r>
    </w:p>
    <w:p>
      <w:pPr>
        <w:pStyle w:val="4"/>
        <w:numPr>
          <w:ilvl w:val="0"/>
          <w:numId w:val="0"/>
        </w:numPr>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17.蛋鸡养殖保险每批每只保险金额40元，费率3%。</w:t>
      </w:r>
    </w:p>
    <w:p>
      <w:pPr>
        <w:pStyle w:val="4"/>
        <w:numPr>
          <w:ilvl w:val="0"/>
          <w:numId w:val="0"/>
        </w:numPr>
        <w:spacing w:line="560" w:lineRule="exact"/>
        <w:ind w:left="0" w:leftChars="0" w:firstLine="640" w:firstLineChars="200"/>
        <w:jc w:val="left"/>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18.省级水产养殖险每亩保险金额9000元，费率6%；地方水产养殖险各品种的保险金额详见《地方水产养殖品种保险金额一览表》，费率按照不同水产养殖品种的生长期确定，3-6个月费率4%，7-9个月费率4.8%，10-15个月费率5.6%。</w:t>
      </w:r>
    </w:p>
    <w:p>
      <w:pPr>
        <w:pStyle w:val="4"/>
        <w:numPr>
          <w:ilvl w:val="0"/>
          <w:numId w:val="0"/>
        </w:numPr>
        <w:spacing w:line="560" w:lineRule="exact"/>
        <w:ind w:left="0" w:leftChars="0" w:firstLine="640" w:firstLineChars="200"/>
        <w:jc w:val="left"/>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19.现代化海洋牧场养殖险保额、保费等另行制定。</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各区可根据实际适当提高保额，由此增加的保费，由各区财政、参保农户（企业）自行承担。</w:t>
      </w:r>
    </w:p>
    <w:p>
      <w:pPr>
        <w:pStyle w:val="4"/>
        <w:numPr>
          <w:ilvl w:val="0"/>
          <w:numId w:val="2"/>
        </w:numPr>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snapToGrid/>
          <w:color w:val="auto"/>
          <w:kern w:val="2"/>
          <w:sz w:val="32"/>
          <w:szCs w:val="32"/>
        </w:rPr>
        <w:t>保费。</w:t>
      </w:r>
      <w:r>
        <w:rPr>
          <w:rFonts w:hint="eastAsia" w:ascii="仿宋_GB2312" w:hAnsi="仿宋_GB2312" w:eastAsia="仿宋_GB2312" w:cs="仿宋_GB2312"/>
          <w:bCs w:val="0"/>
          <w:color w:val="auto"/>
          <w:kern w:val="2"/>
          <w:sz w:val="32"/>
          <w:szCs w:val="32"/>
          <w:lang w:val="en-US" w:eastAsia="zh-CN" w:bidi="ar-SA"/>
        </w:rPr>
        <w:t>各险种保费=保险金额×保险费率。</w:t>
      </w:r>
    </w:p>
    <w:p>
      <w:pPr>
        <w:pStyle w:val="4"/>
        <w:numPr>
          <w:ilvl w:val="0"/>
          <w:numId w:val="0"/>
        </w:numPr>
        <w:adjustRightInd w:val="0"/>
        <w:snapToGrid w:val="0"/>
        <w:spacing w:line="560" w:lineRule="exact"/>
        <w:ind w:left="0" w:leftChars="0" w:firstLine="640" w:firstLineChars="200"/>
        <w:outlineLvl w:val="9"/>
        <w:rPr>
          <w:rFonts w:hint="eastAsia" w:ascii="仿宋_GB2312" w:hAnsi="仿宋_GB2312" w:eastAsia="仿宋_GB2312" w:cs="仿宋_GB2312"/>
          <w:snapToGrid/>
          <w:color w:val="auto"/>
          <w:kern w:val="2"/>
          <w:sz w:val="32"/>
          <w:szCs w:val="32"/>
          <w:lang w:val="en-US"/>
        </w:rPr>
      </w:pPr>
      <w:r>
        <w:rPr>
          <w:rFonts w:hint="eastAsia" w:ascii="仿宋_GB2312" w:hAnsi="仿宋_GB2312" w:eastAsia="仿宋_GB2312" w:cs="仿宋_GB2312"/>
          <w:snapToGrid/>
          <w:color w:val="auto"/>
          <w:kern w:val="2"/>
          <w:sz w:val="32"/>
          <w:szCs w:val="32"/>
        </w:rPr>
        <w:t>（</w:t>
      </w:r>
      <w:r>
        <w:rPr>
          <w:rFonts w:hint="eastAsia" w:ascii="仿宋_GB2312" w:hAnsi="仿宋_GB2312" w:eastAsia="仿宋_GB2312" w:cs="仿宋_GB2312"/>
          <w:snapToGrid/>
          <w:color w:val="auto"/>
          <w:kern w:val="2"/>
          <w:sz w:val="32"/>
          <w:szCs w:val="32"/>
          <w:lang w:eastAsia="zh-CN"/>
        </w:rPr>
        <w:t>九</w:t>
      </w:r>
      <w:r>
        <w:rPr>
          <w:rFonts w:hint="eastAsia" w:ascii="仿宋_GB2312" w:hAnsi="仿宋_GB2312" w:eastAsia="仿宋_GB2312" w:cs="仿宋_GB2312"/>
          <w:snapToGrid/>
          <w:color w:val="auto"/>
          <w:kern w:val="2"/>
          <w:sz w:val="32"/>
          <w:szCs w:val="32"/>
        </w:rPr>
        <w:t>）保费承担比例。</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1.中央财政补贴品种。</w:t>
      </w:r>
    </w:p>
    <w:p>
      <w:pPr>
        <w:pStyle w:val="4"/>
        <w:numPr>
          <w:ilvl w:val="0"/>
          <w:numId w:val="0"/>
        </w:numPr>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（1）种植类。水稻、水稻制种、玉米（甜玉米）、花生、马铃薯、甘蔗保险保费，种植农户负担20%；中央财政补贴35%；市、区两级财政补贴45%。</w:t>
      </w:r>
    </w:p>
    <w:p>
      <w:pPr>
        <w:pStyle w:val="4"/>
        <w:numPr>
          <w:ilvl w:val="0"/>
          <w:numId w:val="0"/>
        </w:numPr>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（2）养殖类。能繁母猪、生猪（含育肥猪、仔猪）、奶牛保险保费，养殖农户负担25%；中央财政补贴40%；市、区两级财政补贴35%。</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2.省级财政补贴品种。</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（1）种植类。岭南水果、蔬菜、茶叶保险，种植农户负担40%；省级财政补贴5%；市、区两级财政补贴55%。</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（2）养殖类。家禽（含肉鸡、蛋鸡、肉鸭）、现代化海洋牧场养殖保险，养殖农户负担40%；省级财政补贴5%；市、区两级财政补贴55%。省级水产养殖险，农户负担50%；省级财政补贴5%；市、区两级财政补贴45%。</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（3）种植大棚险。农户负担40%；省级财政补贴5%；市、区两级财政补贴55%。</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3.地方财政补贴品种。</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（1）种植类。大豆种植保险，种植农户负担20%；市、区两级财政补贴80%。盆栽花卉保险，种植农户负担40%；市、区两级财政补贴60%。</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（2）养殖类。</w:t>
      </w:r>
      <w:r>
        <w:rPr>
          <w:rFonts w:hint="eastAsia" w:ascii="仿宋_GB2312" w:hAnsi="仿宋_GB2312" w:eastAsia="仿宋_GB2312" w:cs="仿宋_GB2312"/>
          <w:bCs w:val="0"/>
          <w:color w:val="auto"/>
          <w:kern w:val="2"/>
          <w:sz w:val="32"/>
          <w:szCs w:val="32"/>
          <w:highlight w:val="none"/>
          <w:lang w:val="en-US" w:eastAsia="zh-CN" w:bidi="ar-SA"/>
        </w:rPr>
        <w:t>地方水产养殖险</w:t>
      </w:r>
      <w:r>
        <w:rPr>
          <w:rFonts w:hint="eastAsia" w:ascii="仿宋_GB2312" w:hAnsi="仿宋_GB2312" w:eastAsia="仿宋_GB2312" w:cs="仿宋_GB2312"/>
          <w:bCs w:val="0"/>
          <w:color w:val="auto"/>
          <w:kern w:val="2"/>
          <w:sz w:val="32"/>
          <w:szCs w:val="32"/>
          <w:lang w:val="en-US" w:eastAsia="zh-CN" w:bidi="ar-SA"/>
        </w:rPr>
        <w:t>，农户负担50%；市、区两级财政补贴50%。</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（3）高标钢构大棚及附加险。农户负担40%；市、区两级财政补贴60%。</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根据市政府</w:t>
      </w:r>
      <w:r>
        <w:rPr>
          <w:rFonts w:hint="eastAsia" w:ascii="仿宋_GB2312" w:hAnsi="仿宋_GB2312" w:eastAsia="仿宋_GB2312" w:cs="仿宋_GB2312"/>
          <w:snapToGrid/>
          <w:color w:val="auto"/>
          <w:kern w:val="2"/>
          <w:sz w:val="32"/>
          <w:szCs w:val="32"/>
          <w:lang w:val="en-US" w:eastAsia="zh-CN"/>
        </w:rPr>
        <w:t>关于市对区财政管理体制有关规定</w:t>
      </w:r>
      <w:r>
        <w:rPr>
          <w:rFonts w:hint="eastAsia" w:ascii="仿宋_GB2312" w:hAnsi="仿宋_GB2312" w:eastAsia="仿宋_GB2312" w:cs="仿宋_GB2312"/>
          <w:bCs w:val="0"/>
          <w:color w:val="auto"/>
          <w:kern w:val="2"/>
          <w:sz w:val="32"/>
          <w:szCs w:val="32"/>
          <w:lang w:val="en-US" w:eastAsia="zh-CN" w:bidi="ar-SA"/>
        </w:rPr>
        <w:t>，市、区两级财政补贴负担比例为：市本级与海珠、荔湾、白云区的负担比例为5:5；天河、番禺、花都区，市区按4:6比例负担；南沙、黄埔区，由区全额负担；市本级与从化、增城区的负担比例分别为8:2和6:4。各级财政保费补贴由各级预算解决，省级涉农资金有结余的可调剂用于保费补贴。</w:t>
      </w:r>
    </w:p>
    <w:p>
      <w:pPr>
        <w:pStyle w:val="4"/>
        <w:adjustRightInd/>
        <w:snapToGrid/>
        <w:spacing w:line="560" w:lineRule="exact"/>
        <w:ind w:left="0" w:leftChars="0" w:firstLine="640" w:firstLineChars="200"/>
        <w:outlineLvl w:val="9"/>
        <w:rPr>
          <w:rFonts w:hint="eastAsia" w:ascii="黑体" w:hAnsi="黑体" w:eastAsia="黑体" w:cs="黑体"/>
          <w:bCs w:val="0"/>
          <w:color w:val="auto"/>
          <w:kern w:val="2"/>
          <w:sz w:val="32"/>
          <w:szCs w:val="32"/>
          <w:lang w:val="en-US" w:eastAsia="zh-CN" w:bidi="ar-SA"/>
        </w:rPr>
      </w:pPr>
      <w:r>
        <w:rPr>
          <w:rFonts w:hint="eastAsia" w:ascii="黑体" w:hAnsi="黑体" w:eastAsia="黑体" w:cs="黑体"/>
          <w:bCs w:val="0"/>
          <w:color w:val="auto"/>
          <w:kern w:val="2"/>
          <w:sz w:val="32"/>
          <w:szCs w:val="32"/>
          <w:lang w:val="en-US" w:eastAsia="zh-CN" w:bidi="ar-SA"/>
        </w:rPr>
        <w:t>四、承保理赔规程及赔付标准</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各险种的承保理赔规程及详细赔付标准</w:t>
      </w:r>
      <w:r>
        <w:rPr>
          <w:rFonts w:hint="eastAsia" w:ascii="仿宋_GB2312" w:hAnsi="仿宋_GB2312" w:eastAsia="仿宋_GB2312" w:cs="仿宋_GB2312"/>
          <w:b w:val="0"/>
          <w:bCs w:val="0"/>
          <w:color w:val="auto"/>
          <w:kern w:val="2"/>
          <w:sz w:val="32"/>
          <w:szCs w:val="32"/>
          <w:lang w:val="en-US" w:eastAsia="zh-CN" w:bidi="ar-SA"/>
        </w:rPr>
        <w:t>另行印发。</w:t>
      </w:r>
    </w:p>
    <w:p>
      <w:pPr>
        <w:pStyle w:val="4"/>
        <w:adjustRightInd/>
        <w:snapToGrid/>
        <w:spacing w:line="560" w:lineRule="exact"/>
        <w:ind w:left="0" w:leftChars="0" w:firstLine="640" w:firstLineChars="200"/>
        <w:outlineLvl w:val="9"/>
        <w:rPr>
          <w:rFonts w:hint="eastAsia" w:ascii="黑体" w:hAnsi="黑体" w:eastAsia="黑体" w:cs="黑体"/>
          <w:bCs w:val="0"/>
          <w:color w:val="auto"/>
          <w:kern w:val="2"/>
          <w:sz w:val="32"/>
          <w:szCs w:val="32"/>
          <w:lang w:val="en-US" w:eastAsia="zh-CN" w:bidi="ar-SA"/>
        </w:rPr>
      </w:pPr>
      <w:r>
        <w:rPr>
          <w:rFonts w:hint="eastAsia" w:ascii="黑体" w:hAnsi="黑体" w:eastAsia="黑体" w:cs="黑体"/>
          <w:bCs w:val="0"/>
          <w:color w:val="auto"/>
          <w:kern w:val="2"/>
          <w:sz w:val="32"/>
          <w:szCs w:val="32"/>
          <w:lang w:val="en-US" w:eastAsia="zh-CN" w:bidi="ar-SA"/>
        </w:rPr>
        <w:t>五、承保机构选择</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按照《中华人民共和国政府采购法》《中华人民共和国招标投标法》规定，以客观公正、公平竞争、诚实信用为原则，由市农业农村局公开招标确定政策性农业保险承保机构，承保规模较大的区可探索开展自行招标采购。</w:t>
      </w:r>
      <w:r>
        <w:rPr>
          <w:rFonts w:hint="eastAsia" w:ascii="仿宋_GB2312" w:hAnsi="仿宋_GB2312" w:eastAsia="仿宋_GB2312" w:cs="仿宋_GB2312"/>
          <w:color w:val="auto"/>
          <w:sz w:val="32"/>
          <w:szCs w:val="32"/>
          <w:lang w:eastAsia="zh-CN"/>
        </w:rPr>
        <w:t>招标</w:t>
      </w:r>
      <w:r>
        <w:rPr>
          <w:rFonts w:hint="eastAsia" w:ascii="仿宋_GB2312" w:hAnsi="仿宋_GB2312" w:eastAsia="仿宋_GB2312" w:cs="仿宋_GB2312"/>
          <w:color w:val="auto"/>
          <w:sz w:val="32"/>
          <w:szCs w:val="32"/>
        </w:rPr>
        <w:t>突出以服务能力、合规经营能力、风险管控能力为基本导向和前提，坚持规范有序、适度竞争，引导承保机构加大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保防救赔”体系建设投入，</w:t>
      </w:r>
      <w:r>
        <w:rPr>
          <w:rFonts w:hint="eastAsia" w:ascii="仿宋_GB2312" w:hAnsi="仿宋_GB2312" w:eastAsia="仿宋_GB2312" w:cs="仿宋_GB2312"/>
          <w:bCs w:val="0"/>
          <w:color w:val="auto"/>
          <w:kern w:val="2"/>
          <w:sz w:val="32"/>
          <w:szCs w:val="32"/>
          <w:lang w:val="en-US" w:eastAsia="zh-CN" w:bidi="ar-SA"/>
        </w:rPr>
        <w:t>招标结果另行通知。</w:t>
      </w:r>
    </w:p>
    <w:p>
      <w:pPr>
        <w:pStyle w:val="4"/>
        <w:adjustRightInd/>
        <w:snapToGrid/>
        <w:spacing w:line="560" w:lineRule="exact"/>
        <w:ind w:firstLine="320" w:firstLineChars="100"/>
        <w:outlineLvl w:val="9"/>
        <w:rPr>
          <w:rFonts w:hint="eastAsia" w:ascii="黑体" w:hAnsi="黑体" w:eastAsia="黑体" w:cs="黑体"/>
          <w:bCs w:val="0"/>
          <w:color w:val="auto"/>
          <w:kern w:val="2"/>
          <w:sz w:val="32"/>
          <w:szCs w:val="32"/>
          <w:lang w:val="en-US" w:eastAsia="zh-CN" w:bidi="ar-SA"/>
        </w:rPr>
      </w:pPr>
      <w:r>
        <w:rPr>
          <w:rFonts w:hint="eastAsia" w:ascii="黑体" w:hAnsi="黑体" w:eastAsia="黑体" w:cs="黑体"/>
          <w:bCs w:val="0"/>
          <w:color w:val="auto"/>
          <w:kern w:val="2"/>
          <w:sz w:val="32"/>
          <w:szCs w:val="32"/>
          <w:lang w:val="en-US" w:eastAsia="zh-CN" w:bidi="ar-SA"/>
        </w:rPr>
        <w:t>六、保费补贴资金管理和拨付</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（一）严格落实</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中央财政农业保险保费补贴管理办法</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广东省农业保险保费财政补贴资金管理办法</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要求，综合考虑农业发展、财政承受能力等实际情况，适应农业保险业 务发展趋势和内在规律，坚持尽力而为、量力而行，并强化预算约束</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有序推进本地区农业保险规范发展。</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eastAsia="zh-CN"/>
        </w:rPr>
        <w:t>（二）</w:t>
      </w:r>
      <w:r>
        <w:rPr>
          <w:rFonts w:hint="eastAsia" w:ascii="仿宋_GB2312" w:hAnsi="仿宋_GB2312" w:eastAsia="仿宋_GB2312" w:cs="仿宋_GB2312"/>
          <w:color w:val="auto"/>
          <w:kern w:val="2"/>
          <w:sz w:val="32"/>
          <w:szCs w:val="32"/>
        </w:rPr>
        <w:t>各级财政承担的政策性农业保险保费补贴资金实行国库集中支付管理。</w:t>
      </w:r>
      <w:r>
        <w:rPr>
          <w:rFonts w:hint="eastAsia" w:ascii="仿宋_GB2312" w:hAnsi="仿宋_GB2312" w:eastAsia="仿宋_GB2312" w:cs="仿宋_GB2312"/>
          <w:bCs w:val="0"/>
          <w:color w:val="auto"/>
          <w:kern w:val="2"/>
          <w:sz w:val="32"/>
          <w:szCs w:val="32"/>
          <w:lang w:val="en-US" w:eastAsia="zh-CN" w:bidi="ar-SA"/>
        </w:rPr>
        <w:t>各级保险承办机构对政策性农业保险保费补贴资金实行专项管理、分账核算。按照财政部和保监会要求，各级财政对保费补贴的前提是投保户自愿参保。市、区财政按照实际投保数据、缴费与保险公司结算保费补贴资金。农户不参保，政府不补贴。鼓励有条件的区、镇、村或合作社对政策性农业保险中农户自交保费部分进行全额补贴。</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三</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原则上</w:t>
      </w:r>
      <w:r>
        <w:rPr>
          <w:rFonts w:hint="eastAsia" w:ascii="仿宋_GB2312" w:hAnsi="仿宋_GB2312" w:eastAsia="仿宋_GB2312" w:cs="仿宋_GB2312"/>
          <w:color w:val="auto"/>
          <w:kern w:val="2"/>
          <w:sz w:val="32"/>
          <w:szCs w:val="32"/>
        </w:rPr>
        <w:t>保费补贴按季度拨付。农业保险中央和省级补贴资金实行省级统一结算，</w:t>
      </w:r>
      <w:r>
        <w:rPr>
          <w:rFonts w:hint="eastAsia" w:ascii="仿宋_GB2312" w:hAnsi="仿宋_GB2312" w:eastAsia="仿宋_GB2312" w:cs="仿宋_GB2312"/>
          <w:color w:val="auto"/>
          <w:kern w:val="2"/>
          <w:sz w:val="32"/>
          <w:szCs w:val="32"/>
          <w:lang w:eastAsia="zh-CN"/>
        </w:rPr>
        <w:t>市、区</w:t>
      </w:r>
      <w:r>
        <w:rPr>
          <w:rFonts w:hint="eastAsia" w:ascii="仿宋_GB2312" w:hAnsi="仿宋_GB2312" w:eastAsia="仿宋_GB2312" w:cs="仿宋_GB2312"/>
          <w:color w:val="auto"/>
          <w:kern w:val="2"/>
          <w:sz w:val="32"/>
          <w:szCs w:val="32"/>
        </w:rPr>
        <w:t>财政保费补贴资金由市、</w:t>
      </w:r>
      <w:r>
        <w:rPr>
          <w:rFonts w:hint="eastAsia" w:ascii="仿宋_GB2312" w:hAnsi="仿宋_GB2312" w:eastAsia="仿宋_GB2312" w:cs="仿宋_GB2312"/>
          <w:color w:val="auto"/>
          <w:kern w:val="2"/>
          <w:sz w:val="32"/>
          <w:szCs w:val="32"/>
          <w:lang w:eastAsia="zh-CN"/>
        </w:rPr>
        <w:t>区</w:t>
      </w:r>
      <w:r>
        <w:rPr>
          <w:rFonts w:hint="eastAsia" w:ascii="仿宋_GB2312" w:hAnsi="仿宋_GB2312" w:eastAsia="仿宋_GB2312" w:cs="仿宋_GB2312"/>
          <w:color w:val="auto"/>
          <w:kern w:val="2"/>
          <w:sz w:val="32"/>
          <w:szCs w:val="32"/>
        </w:rPr>
        <w:t>级结算。中央和省级保费补贴资金每季度按规定由市农业农村部门报送材料至省农业农村厅结算拨付。市</w:t>
      </w:r>
      <w:r>
        <w:rPr>
          <w:rFonts w:hint="eastAsia" w:ascii="仿宋_GB2312" w:hAnsi="仿宋_GB2312" w:eastAsia="仿宋_GB2312" w:cs="仿宋_GB2312"/>
          <w:color w:val="auto"/>
          <w:kern w:val="2"/>
          <w:sz w:val="32"/>
          <w:szCs w:val="32"/>
          <w:lang w:eastAsia="zh-CN"/>
        </w:rPr>
        <w:t>、区</w:t>
      </w:r>
      <w:r>
        <w:rPr>
          <w:rFonts w:hint="eastAsia" w:ascii="仿宋_GB2312" w:hAnsi="仿宋_GB2312" w:eastAsia="仿宋_GB2312" w:cs="仿宋_GB2312"/>
          <w:color w:val="auto"/>
          <w:kern w:val="2"/>
          <w:sz w:val="32"/>
          <w:szCs w:val="32"/>
        </w:rPr>
        <w:t>保费补贴资金由市、</w:t>
      </w:r>
      <w:r>
        <w:rPr>
          <w:rFonts w:hint="eastAsia" w:ascii="仿宋_GB2312" w:hAnsi="仿宋_GB2312" w:eastAsia="仿宋_GB2312" w:cs="仿宋_GB2312"/>
          <w:color w:val="auto"/>
          <w:kern w:val="2"/>
          <w:sz w:val="32"/>
          <w:szCs w:val="32"/>
          <w:lang w:eastAsia="zh-CN"/>
        </w:rPr>
        <w:t>区农业农村部门</w:t>
      </w:r>
      <w:r>
        <w:rPr>
          <w:rFonts w:hint="eastAsia" w:ascii="仿宋_GB2312" w:hAnsi="仿宋_GB2312" w:eastAsia="仿宋_GB2312" w:cs="仿宋_GB2312"/>
          <w:color w:val="auto"/>
          <w:kern w:val="2"/>
          <w:sz w:val="32"/>
          <w:szCs w:val="32"/>
        </w:rPr>
        <w:t>进行审核确认和据实结算拨付。</w:t>
      </w:r>
      <w:r>
        <w:rPr>
          <w:rFonts w:hint="eastAsia" w:ascii="仿宋_GB2312" w:hAnsi="仿宋_GB2312" w:eastAsia="仿宋_GB2312" w:cs="仿宋_GB2312"/>
          <w:color w:val="auto"/>
          <w:kern w:val="2"/>
          <w:sz w:val="32"/>
          <w:szCs w:val="32"/>
          <w:lang w:eastAsia="zh-CN"/>
        </w:rPr>
        <w:t>其中市级保费补贴结算</w:t>
      </w:r>
      <w:r>
        <w:rPr>
          <w:rFonts w:hint="eastAsia" w:ascii="仿宋_GB2312" w:hAnsi="仿宋_GB2312" w:eastAsia="仿宋_GB2312" w:cs="仿宋_GB2312"/>
          <w:color w:val="auto"/>
          <w:kern w:val="2"/>
          <w:sz w:val="32"/>
          <w:szCs w:val="32"/>
        </w:rPr>
        <w:t>保费补贴资金结算应</w:t>
      </w:r>
      <w:r>
        <w:rPr>
          <w:rFonts w:hint="eastAsia" w:ascii="仿宋_GB2312" w:hAnsi="仿宋_GB2312" w:eastAsia="仿宋_GB2312" w:cs="仿宋_GB2312"/>
          <w:color w:val="auto"/>
          <w:kern w:val="2"/>
          <w:sz w:val="32"/>
          <w:szCs w:val="32"/>
          <w:lang w:eastAsia="zh-CN"/>
        </w:rPr>
        <w:t>由</w:t>
      </w:r>
      <w:r>
        <w:rPr>
          <w:rFonts w:hint="eastAsia" w:ascii="仿宋_GB2312" w:hAnsi="仿宋_GB2312" w:eastAsia="仿宋_GB2312" w:cs="仿宋_GB2312"/>
          <w:bCs w:val="0"/>
          <w:color w:val="auto"/>
          <w:kern w:val="2"/>
          <w:sz w:val="32"/>
          <w:szCs w:val="32"/>
          <w:lang w:val="en-US" w:eastAsia="zh-CN" w:bidi="ar-SA"/>
        </w:rPr>
        <w:t>各区保险经办机构编制保险承保情况，经区农业主管部门审核后抄送区财政局，报市级保险经办机构；市级保险经办机构审核汇总各区上报的承保情况，编制市级财政保费补贴申请，报送市农业农村局审核后，再送市财政局按程序办理补贴资金拨付手续。承保和财政保费补贴情况在市农业农村局、财政局门户网站公示。保险经办机构对承保数据的真实性负责，各级农业农村部门可以通过抽查或委托中介核实相关数据，检查情况与保险经办机构年度考核挂钩。各区可以结合本地实际补充通知细化本区审核拨付程序。</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eastAsia="zh-CN"/>
        </w:rPr>
        <w:t>（四）</w:t>
      </w:r>
      <w:r>
        <w:rPr>
          <w:rFonts w:hint="eastAsia" w:ascii="仿宋_GB2312" w:hAnsi="仿宋_GB2312" w:eastAsia="仿宋_GB2312" w:cs="仿宋_GB2312"/>
          <w:color w:val="auto"/>
          <w:kern w:val="2"/>
          <w:sz w:val="32"/>
          <w:szCs w:val="32"/>
        </w:rPr>
        <w:t>各级财政、</w:t>
      </w:r>
      <w:r>
        <w:rPr>
          <w:rFonts w:hint="eastAsia" w:ascii="仿宋_GB2312" w:hAnsi="仿宋_GB2312" w:eastAsia="仿宋_GB2312" w:cs="仿宋_GB2312"/>
          <w:color w:val="auto"/>
          <w:kern w:val="2"/>
          <w:sz w:val="32"/>
          <w:szCs w:val="32"/>
          <w:lang w:eastAsia="zh-CN"/>
        </w:rPr>
        <w:t>农业农村部门</w:t>
      </w:r>
      <w:r>
        <w:rPr>
          <w:rFonts w:hint="eastAsia" w:ascii="仿宋_GB2312" w:hAnsi="仿宋_GB2312" w:eastAsia="仿宋_GB2312" w:cs="仿宋_GB2312"/>
          <w:color w:val="auto"/>
          <w:kern w:val="2"/>
          <w:sz w:val="32"/>
          <w:szCs w:val="32"/>
        </w:rPr>
        <w:t>加强对保费补贴资金使用情况的监督和检查，确保专款专用。</w:t>
      </w:r>
      <w:r>
        <w:rPr>
          <w:rFonts w:hint="eastAsia" w:ascii="仿宋_GB2312" w:hAnsi="仿宋_GB2312" w:eastAsia="仿宋_GB2312" w:cs="仿宋_GB2312"/>
          <w:bCs w:val="0"/>
          <w:color w:val="auto"/>
          <w:kern w:val="2"/>
          <w:sz w:val="32"/>
          <w:szCs w:val="32"/>
          <w:lang w:val="en-US" w:eastAsia="zh-CN" w:bidi="ar-SA"/>
        </w:rPr>
        <w:t>如发现保险经办机构和有关单位（个人）提供虚假材料骗取保费补贴资金，将追回相应补贴资金，并视情节轻重追究有关人员责任，相关情况要及时报上级财政、农业农村部门。</w:t>
      </w:r>
    </w:p>
    <w:p>
      <w:pPr>
        <w:pStyle w:val="4"/>
        <w:adjustRightInd/>
        <w:snapToGrid/>
        <w:spacing w:line="560" w:lineRule="exact"/>
        <w:ind w:left="0" w:leftChars="0" w:firstLine="640" w:firstLineChars="200"/>
        <w:outlineLvl w:val="9"/>
        <w:rPr>
          <w:rFonts w:hint="eastAsia" w:ascii="黑体" w:hAnsi="黑体" w:eastAsia="黑体" w:cs="黑体"/>
          <w:bCs w:val="0"/>
          <w:color w:val="auto"/>
          <w:kern w:val="2"/>
          <w:sz w:val="32"/>
          <w:szCs w:val="32"/>
          <w:lang w:val="en-US" w:eastAsia="zh-CN" w:bidi="ar-SA"/>
        </w:rPr>
      </w:pPr>
      <w:r>
        <w:rPr>
          <w:rFonts w:hint="eastAsia" w:ascii="黑体" w:hAnsi="黑体" w:eastAsia="黑体" w:cs="黑体"/>
          <w:bCs w:val="0"/>
          <w:color w:val="auto"/>
          <w:kern w:val="2"/>
          <w:sz w:val="32"/>
          <w:szCs w:val="32"/>
          <w:lang w:val="en-US" w:eastAsia="zh-CN" w:bidi="ar-SA"/>
        </w:rPr>
        <w:t>七、协保体系建设</w:t>
      </w:r>
    </w:p>
    <w:p>
      <w:pPr>
        <w:pStyle w:val="4"/>
        <w:adjustRightInd w:val="0"/>
        <w:snapToGrid w:val="0"/>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承保机构可依托农业技术推广服务中心、乡村振兴服务中心或公共服务中心、生产托管运营中心、农民合作社服务中心、村民委员会等机构协助办理农业保险业务。每村结合实际需要可设立一名或多名协保员。由承保机构与协办机构、协保员签订书面合同，约定双方权利义务。协办机构、协保员负责协助承保机构开展政策性农业保险宣传、承保、理赔、定损等具体业务。承保机构应依法依规向协办机构、协保员支付相关费用，协保经费可按不超过政策性农业保险保费规模的5%提取，具体标准由双方协商确定，并在合同中载明。向协保员支付协保费，原则上不得超过当地公益性岗位的平均报酬。承保机构应当加强对协办机构、协保员的业务培训，对其协办行为负责。</w:t>
      </w:r>
    </w:p>
    <w:p>
      <w:pPr>
        <w:pStyle w:val="4"/>
        <w:adjustRightInd/>
        <w:snapToGrid/>
        <w:spacing w:line="560" w:lineRule="exact"/>
        <w:ind w:left="0" w:leftChars="0" w:firstLine="640" w:firstLineChars="200"/>
        <w:outlineLvl w:val="9"/>
        <w:rPr>
          <w:rFonts w:hint="eastAsia" w:ascii="黑体" w:hAnsi="黑体" w:eastAsia="黑体" w:cs="黑体"/>
          <w:bCs w:val="0"/>
          <w:color w:val="auto"/>
          <w:kern w:val="2"/>
          <w:sz w:val="32"/>
          <w:szCs w:val="32"/>
          <w:lang w:val="en-US" w:eastAsia="zh-CN" w:bidi="ar-SA"/>
        </w:rPr>
      </w:pPr>
      <w:r>
        <w:rPr>
          <w:rFonts w:hint="eastAsia" w:ascii="黑体" w:hAnsi="黑体" w:eastAsia="黑体" w:cs="黑体"/>
          <w:bCs w:val="0"/>
          <w:color w:val="auto"/>
          <w:kern w:val="2"/>
          <w:sz w:val="32"/>
          <w:szCs w:val="32"/>
          <w:lang w:val="en-US" w:eastAsia="zh-CN" w:bidi="ar-SA"/>
        </w:rPr>
        <w:t>八、“保防救赔”体系建设</w:t>
      </w:r>
    </w:p>
    <w:p>
      <w:pPr>
        <w:pStyle w:val="4"/>
        <w:adjustRightInd/>
        <w:snapToGrid/>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保险机构应建立健全“保防救赔”一体化体系， 发挥保险机制在灾前风险预防、事中风险控制、灾后理赔服务等方面的功能作用，加大防灾减损资金投入，强化风险管控，坚持预防为主、防赔结合，协助做好防灾减损工作，通过再保险等有效方式分散风险。保险机构年度防灾减损资金投入比例原则上不低于当年农险签单保费规模的1.5% (专业农险公司不低于1%)。</w:t>
      </w:r>
    </w:p>
    <w:p>
      <w:pPr>
        <w:pStyle w:val="4"/>
        <w:numPr>
          <w:ilvl w:val="0"/>
          <w:numId w:val="3"/>
        </w:numPr>
        <w:adjustRightInd/>
        <w:snapToGrid/>
        <w:spacing w:line="560" w:lineRule="exact"/>
        <w:ind w:left="0" w:leftChars="0" w:firstLine="640" w:firstLineChars="200"/>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监督考核</w:t>
      </w:r>
    </w:p>
    <w:p>
      <w:pPr>
        <w:pStyle w:val="4"/>
        <w:numPr>
          <w:ilvl w:val="-1"/>
          <w:numId w:val="0"/>
        </w:numPr>
        <w:adjustRightInd/>
        <w:snapToGrid/>
        <w:spacing w:line="560" w:lineRule="exact"/>
        <w:ind w:left="0" w:leftChars="0" w:firstLine="640" w:firstLineChars="200"/>
        <w:outlineLvl w:val="9"/>
        <w:rPr>
          <w:rFonts w:hint="eastAsia" w:ascii="黑体" w:hAnsi="黑体" w:eastAsia="黑体" w:cs="黑体"/>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区要加强对农业保险承保理赔和保费补贴资金拨付的全流程监管，强化对承保机构服务的监督考核。按照“双随机、一公开”等要求，定期对本区农业保险投保真实性、结算数据准确性、保费补贴资金拨付及时性、投保理赔业务规范性等实施情况进行监督检查，重点严查虚构或虚增保险标的、虚假理赔、虚列费用、虚假退保、截留挪用赔款，以及其他骗取农业保险保费补贴资金的行为。对存在重大违法违规行为和重大风险隐患的保险机构，依据清退出农业保险市场。对检查中发现的重大问题应及时报送有关部门，涉嫌犯罪的，依法移送司法机关处理。</w:t>
      </w:r>
    </w:p>
    <w:p>
      <w:pPr>
        <w:pStyle w:val="4"/>
        <w:adjustRightInd/>
        <w:snapToGrid/>
        <w:spacing w:line="560" w:lineRule="exact"/>
        <w:ind w:left="0" w:leftChars="0" w:firstLine="640" w:firstLineChars="200"/>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十、职责分工</w:t>
      </w:r>
    </w:p>
    <w:p>
      <w:pPr>
        <w:pStyle w:val="4"/>
        <w:adjustRightInd/>
        <w:snapToGrid/>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color w:val="auto"/>
          <w:kern w:val="2"/>
          <w:sz w:val="32"/>
          <w:szCs w:val="32"/>
        </w:rPr>
        <w:t>（一）市农业</w:t>
      </w:r>
      <w:r>
        <w:rPr>
          <w:rFonts w:hint="eastAsia" w:ascii="仿宋_GB2312" w:hAnsi="仿宋_GB2312" w:eastAsia="仿宋_GB2312" w:cs="仿宋_GB2312"/>
          <w:color w:val="auto"/>
          <w:kern w:val="2"/>
          <w:sz w:val="32"/>
          <w:szCs w:val="32"/>
          <w:lang w:eastAsia="zh-CN"/>
        </w:rPr>
        <w:t>农村</w:t>
      </w:r>
      <w:r>
        <w:rPr>
          <w:rFonts w:hint="eastAsia" w:ascii="仿宋_GB2312" w:hAnsi="仿宋_GB2312" w:eastAsia="仿宋_GB2312" w:cs="仿宋_GB2312"/>
          <w:color w:val="auto"/>
          <w:kern w:val="2"/>
          <w:sz w:val="32"/>
          <w:szCs w:val="32"/>
        </w:rPr>
        <w:t>局：</w:t>
      </w:r>
      <w:r>
        <w:rPr>
          <w:rFonts w:hint="eastAsia" w:ascii="仿宋_GB2312" w:hAnsi="仿宋_GB2312" w:eastAsia="仿宋_GB2312" w:cs="仿宋_GB2312"/>
          <w:bCs w:val="0"/>
          <w:color w:val="auto"/>
          <w:kern w:val="2"/>
          <w:sz w:val="32"/>
          <w:szCs w:val="32"/>
          <w:lang w:val="en-US" w:eastAsia="zh-CN" w:bidi="ar-SA"/>
        </w:rPr>
        <w:t>负责制定全市性政策性农业保险工作实施方案以及宣传、指导、协调推进工作；与市级财政部门沟通落实本级保费补贴资金和工作经费的预算；发生重大疑难案件或大面积灾害时，协调组织评估专家小组配合保险公司及其他部门共同做好查勘定损理赔工作；牵头组织对各险种保险承保、理赔的真实性进行核实。</w:t>
      </w:r>
    </w:p>
    <w:p>
      <w:pPr>
        <w:pStyle w:val="4"/>
        <w:adjustRightInd/>
        <w:snapToGrid/>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color w:val="auto"/>
          <w:kern w:val="2"/>
          <w:sz w:val="32"/>
          <w:szCs w:val="32"/>
        </w:rPr>
        <w:t>（二）区镇级</w:t>
      </w:r>
      <w:r>
        <w:rPr>
          <w:rFonts w:hint="eastAsia" w:ascii="仿宋_GB2312" w:hAnsi="仿宋_GB2312" w:eastAsia="仿宋_GB2312" w:cs="仿宋_GB2312"/>
          <w:color w:val="auto"/>
          <w:kern w:val="2"/>
          <w:sz w:val="32"/>
          <w:szCs w:val="32"/>
          <w:lang w:eastAsia="zh-CN"/>
        </w:rPr>
        <w:t>农业农村部门</w:t>
      </w:r>
      <w:r>
        <w:rPr>
          <w:rFonts w:hint="eastAsia" w:ascii="仿宋_GB2312" w:hAnsi="仿宋_GB2312" w:eastAsia="仿宋_GB2312" w:cs="仿宋_GB2312"/>
          <w:color w:val="auto"/>
          <w:kern w:val="2"/>
          <w:sz w:val="32"/>
          <w:szCs w:val="32"/>
        </w:rPr>
        <w:t>：结合本区域农业产业发展 需要，研究开办区级特色险种；负责本区域政策性农业保险 工作的宣传、指导与协调推进工作；与本级财政部门沟通落 实本级保费补贴资金和工作经费的预算；配合保险公司做好 保险信息收集和补贴资金申请并协调村（居）委会协助保险公司及时做好投保资料收集、验标等工作</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bCs w:val="0"/>
          <w:color w:val="auto"/>
          <w:kern w:val="2"/>
          <w:sz w:val="32"/>
          <w:szCs w:val="32"/>
          <w:lang w:val="en-US" w:eastAsia="zh-CN" w:bidi="ar-SA"/>
        </w:rPr>
        <w:t>发生较大疑难案件或较大面积灾害时，协调组织评估专家配合保险公司及其他部门共同做好查勘定损理赔工作。</w:t>
      </w:r>
    </w:p>
    <w:p>
      <w:pPr>
        <w:pStyle w:val="4"/>
        <w:adjustRightInd/>
        <w:snapToGrid/>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color w:val="auto"/>
          <w:kern w:val="2"/>
          <w:sz w:val="32"/>
          <w:szCs w:val="32"/>
        </w:rPr>
        <w:t>（三）各级财政部门：</w:t>
      </w:r>
      <w:r>
        <w:rPr>
          <w:rFonts w:hint="eastAsia" w:ascii="仿宋_GB2312" w:hAnsi="仿宋_GB2312" w:eastAsia="仿宋_GB2312" w:cs="仿宋_GB2312"/>
          <w:bCs w:val="0"/>
          <w:color w:val="auto"/>
          <w:kern w:val="2"/>
          <w:sz w:val="32"/>
          <w:szCs w:val="32"/>
          <w:lang w:val="en-US" w:eastAsia="zh-CN" w:bidi="ar-SA"/>
        </w:rPr>
        <w:t>负责资金的筹集落实，根据各级农业农村部门提供的本地种植（养殖）数量及保费分担比例测算的保费补贴列入同级财政预算，确保足额安排；保障资金及时足额拨付到位；加强补贴资金的监管。</w:t>
      </w:r>
    </w:p>
    <w:p>
      <w:pPr>
        <w:pStyle w:val="4"/>
        <w:adjustRightInd/>
        <w:snapToGrid/>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rPr>
        <w:t>（</w:t>
      </w:r>
      <w:r>
        <w:rPr>
          <w:rFonts w:hint="eastAsia" w:ascii="仿宋_GB2312" w:hAnsi="仿宋_GB2312" w:eastAsia="仿宋_GB2312" w:cs="仿宋_GB2312"/>
          <w:b w:val="0"/>
          <w:bCs w:val="0"/>
          <w:color w:val="auto"/>
          <w:kern w:val="2"/>
          <w:sz w:val="32"/>
          <w:szCs w:val="32"/>
          <w:lang w:eastAsia="zh-CN"/>
        </w:rPr>
        <w:t>四</w:t>
      </w:r>
      <w:r>
        <w:rPr>
          <w:rFonts w:hint="eastAsia" w:ascii="仿宋_GB2312" w:hAnsi="仿宋_GB2312" w:eastAsia="仿宋_GB2312" w:cs="仿宋_GB2312"/>
          <w:b w:val="0"/>
          <w:bCs w:val="0"/>
          <w:color w:val="auto"/>
          <w:kern w:val="2"/>
          <w:sz w:val="32"/>
          <w:szCs w:val="32"/>
        </w:rPr>
        <w:t>）</w:t>
      </w:r>
      <w:r>
        <w:rPr>
          <w:rFonts w:hint="eastAsia" w:ascii="仿宋_GB2312" w:hAnsi="仿宋_GB2312" w:eastAsia="仿宋_GB2312" w:cs="仿宋_GB2312"/>
          <w:b w:val="0"/>
          <w:bCs w:val="0"/>
          <w:color w:val="auto"/>
          <w:kern w:val="2"/>
          <w:sz w:val="32"/>
          <w:szCs w:val="32"/>
          <w:lang w:eastAsia="zh-CN"/>
        </w:rPr>
        <w:t>市气象部门</w:t>
      </w:r>
      <w:r>
        <w:rPr>
          <w:rFonts w:hint="eastAsia" w:ascii="仿宋_GB2312" w:hAnsi="仿宋_GB2312" w:eastAsia="仿宋_GB2312" w:cs="仿宋_GB2312"/>
          <w:bCs w:val="0"/>
          <w:color w:val="auto"/>
          <w:kern w:val="2"/>
          <w:sz w:val="32"/>
          <w:szCs w:val="32"/>
          <w:lang w:val="en-US" w:eastAsia="zh-CN" w:bidi="ar-SA"/>
        </w:rPr>
        <w:t>：负责提供政策性蔬菜种植气象指数保险的理赔气象数据证明或报告，研究气象指数定损模型及应用，配合市农业农村局、保险公司做好保险理赔工作。</w:t>
      </w:r>
    </w:p>
    <w:p>
      <w:pPr>
        <w:pStyle w:val="4"/>
        <w:adjustRightInd/>
        <w:snapToGrid/>
        <w:spacing w:line="560" w:lineRule="exact"/>
        <w:ind w:left="0" w:leftChars="0" w:firstLine="640" w:firstLineChars="200"/>
        <w:jc w:val="left"/>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五</w:t>
      </w:r>
      <w:r>
        <w:rPr>
          <w:rFonts w:hint="eastAsia" w:ascii="仿宋_GB2312" w:hAnsi="仿宋_GB2312" w:eastAsia="仿宋_GB2312" w:cs="仿宋_GB2312"/>
          <w:color w:val="auto"/>
          <w:kern w:val="2"/>
          <w:sz w:val="32"/>
          <w:szCs w:val="32"/>
        </w:rPr>
        <w:t>）保险机构：</w:t>
      </w:r>
      <w:r>
        <w:rPr>
          <w:rFonts w:hint="eastAsia" w:ascii="仿宋_GB2312" w:hAnsi="仿宋_GB2312" w:eastAsia="仿宋_GB2312" w:cs="仿宋_GB2312"/>
          <w:bCs w:val="0"/>
          <w:color w:val="auto"/>
          <w:kern w:val="2"/>
          <w:sz w:val="32"/>
          <w:szCs w:val="32"/>
          <w:lang w:val="en-US" w:eastAsia="zh-CN" w:bidi="ar-SA"/>
        </w:rPr>
        <w:t>负责做好种植（养殖）企业（场、户）档案资料的收集、审核、保存和管理工作；按规定报送保费补贴情况表并对承保数据的真实性负责；加强对协办机构、协保员的业务培训，按政策性农业保险保费收入的5%标准列支协保工作经费；加强承保、防灾防损、查勘定损、理赔等专业化服务，做到理赔服务查勘定损到户、赔款支付到户、理赔信息公开到户。</w:t>
      </w:r>
    </w:p>
    <w:p>
      <w:pPr>
        <w:pStyle w:val="4"/>
        <w:adjustRightInd/>
        <w:snapToGrid/>
        <w:spacing w:line="560" w:lineRule="exact"/>
        <w:ind w:left="0" w:leftChars="0" w:firstLine="640" w:firstLineChars="200"/>
        <w:jc w:val="left"/>
        <w:outlineLvl w:val="9"/>
        <w:rPr>
          <w:rFonts w:hint="eastAsia" w:ascii="仿宋_GB2312" w:hAnsi="仿宋_GB2312" w:eastAsia="仿宋_GB2312" w:cs="仿宋_GB2312"/>
          <w:bCs w:val="0"/>
          <w:color w:val="auto"/>
          <w:kern w:val="2"/>
          <w:sz w:val="32"/>
          <w:szCs w:val="32"/>
          <w:lang w:val="en-US" w:eastAsia="zh-CN" w:bidi="ar-SA"/>
        </w:rPr>
      </w:pPr>
    </w:p>
    <w:p>
      <w:pPr>
        <w:pStyle w:val="4"/>
        <w:adjustRightInd/>
        <w:snapToGrid/>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附件：1.各险种保险金额、费率、保费补贴比例一览表</w:t>
      </w:r>
    </w:p>
    <w:p>
      <w:pPr>
        <w:pStyle w:val="4"/>
        <w:adjustRightInd/>
        <w:snapToGrid/>
        <w:spacing w:line="560" w:lineRule="exact"/>
        <w:ind w:left="0" w:leftChars="0" w:firstLine="1600" w:firstLineChars="5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2.地方水产养殖品种保险金额一览表</w:t>
      </w:r>
    </w:p>
    <w:p>
      <w:pPr>
        <w:pStyle w:val="4"/>
        <w:adjustRightInd/>
        <w:snapToGrid/>
        <w:spacing w:line="560" w:lineRule="exact"/>
        <w:ind w:left="0" w:leftChars="0" w:firstLine="640" w:firstLineChars="2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 xml:space="preserve">      3.保险名词释义</w:t>
      </w:r>
    </w:p>
    <w:p>
      <w:pPr>
        <w:pStyle w:val="4"/>
        <w:adjustRightInd/>
        <w:snapToGrid/>
        <w:spacing w:line="560" w:lineRule="exact"/>
        <w:ind w:left="0" w:leftChars="0" w:firstLine="1600" w:firstLineChars="5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4.广州市政策性保险承保汇总表</w:t>
      </w:r>
    </w:p>
    <w:p>
      <w:pPr>
        <w:pStyle w:val="4"/>
        <w:adjustRightInd/>
        <w:snapToGrid/>
        <w:spacing w:line="560" w:lineRule="exact"/>
        <w:ind w:left="0" w:leftChars="0" w:firstLine="1600" w:firstLineChars="500"/>
        <w:outlineLvl w:val="9"/>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5.广州市政策性保险承保明细表</w:t>
      </w:r>
    </w:p>
    <w:p>
      <w:pPr>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bl>
      <w:tblPr>
        <w:tblStyle w:val="8"/>
        <w:tblpPr w:leftFromText="180" w:rightFromText="180" w:vertAnchor="text" w:horzAnchor="page" w:tblpX="422" w:tblpY="588"/>
        <w:tblOverlap w:val="never"/>
        <w:tblW w:w="11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2"/>
        <w:gridCol w:w="2395"/>
        <w:gridCol w:w="1584"/>
        <w:gridCol w:w="1373"/>
        <w:gridCol w:w="1714"/>
        <w:gridCol w:w="911"/>
        <w:gridCol w:w="804"/>
        <w:gridCol w:w="889"/>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5" w:hRule="atLeast"/>
        </w:trPr>
        <w:tc>
          <w:tcPr>
            <w:tcW w:w="11140" w:type="dxa"/>
            <w:gridSpan w:val="9"/>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Times New Roman" w:hAnsi="Times New Roman" w:eastAsia="方正小标宋简体" w:cs="Times New Roman"/>
                <w:b w:val="0"/>
                <w:bCs/>
                <w:color w:val="000000"/>
                <w:kern w:val="0"/>
                <w:sz w:val="44"/>
                <w:szCs w:val="44"/>
              </w:rPr>
              <w:t>各险种保险金额、费率、保费补贴比例一览表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1" w:hRule="atLeast"/>
        </w:trPr>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险种</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类型</w:t>
            </w:r>
          </w:p>
        </w:tc>
        <w:tc>
          <w:tcPr>
            <w:tcW w:w="2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险种</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保额</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费率</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保险费</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中央</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财政</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补贴</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省</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财政</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补贴</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市县</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财政</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补贴</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农户</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负担</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1"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元/亩、头、羽</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每造/年/批</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元</w:t>
            </w: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中央财政补贴型险种</w:t>
            </w: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水稻</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水稻</w:t>
            </w:r>
            <w:r>
              <w:rPr>
                <w:rFonts w:hint="eastAsia" w:ascii="宋体" w:hAnsi="宋体" w:cs="宋体"/>
                <w:i w:val="0"/>
                <w:color w:val="000000"/>
                <w:kern w:val="0"/>
                <w:sz w:val="22"/>
                <w:szCs w:val="22"/>
                <w:u w:val="none"/>
                <w:lang w:val="en-US" w:eastAsia="zh-CN" w:bidi="ar"/>
              </w:rPr>
              <w:t>制种</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300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马铃薯</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144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玉米</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甜玉米</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花生</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甘蔗</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能繁母猪</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仔猪</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育肥猪</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奶牛1-3岁</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奶牛3-7岁</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奶牛7-8岁</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702" w:type="dxa"/>
            <w:vMerge w:val="restart"/>
            <w:tcBorders>
              <w:top w:val="nil"/>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省级财政补贴型</w:t>
            </w:r>
            <w:r>
              <w:rPr>
                <w:rFonts w:hint="eastAsia" w:ascii="宋体" w:hAnsi="宋体" w:cs="宋体"/>
                <w:i w:val="0"/>
                <w:color w:val="000000"/>
                <w:kern w:val="0"/>
                <w:sz w:val="22"/>
                <w:szCs w:val="22"/>
                <w:u w:val="none"/>
                <w:lang w:val="en-US" w:eastAsia="zh-CN" w:bidi="ar"/>
              </w:rPr>
              <w:t>险</w:t>
            </w:r>
            <w:r>
              <w:rPr>
                <w:rFonts w:hint="eastAsia" w:ascii="宋体" w:hAnsi="宋体" w:eastAsia="宋体" w:cs="宋体"/>
                <w:i w:val="0"/>
                <w:color w:val="000000"/>
                <w:kern w:val="0"/>
                <w:sz w:val="22"/>
                <w:szCs w:val="22"/>
                <w:u w:val="none"/>
                <w:lang w:val="en-US" w:eastAsia="zh-CN" w:bidi="ar"/>
              </w:rPr>
              <w:t>种</w:t>
            </w:r>
          </w:p>
          <w:p>
            <w:pPr>
              <w:jc w:val="center"/>
              <w:rPr>
                <w:rFonts w:hint="eastAsia" w:ascii="宋体" w:hAnsi="宋体" w:eastAsia="宋体" w:cs="宋体"/>
                <w:i w:val="0"/>
                <w:color w:val="000000"/>
                <w:sz w:val="22"/>
                <w:szCs w:val="22"/>
                <w:u w:val="none"/>
              </w:rPr>
            </w:pPr>
          </w:p>
        </w:tc>
        <w:tc>
          <w:tcPr>
            <w:tcW w:w="23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岭南水果</w:t>
            </w:r>
            <w:r>
              <w:rPr>
                <w:rFonts w:hint="eastAsia" w:ascii="宋体" w:hAnsi="宋体" w:cs="宋体"/>
                <w:i w:val="0"/>
                <w:color w:val="000000"/>
                <w:kern w:val="0"/>
                <w:sz w:val="22"/>
                <w:szCs w:val="22"/>
                <w:u w:val="none"/>
                <w:lang w:val="en-US" w:eastAsia="zh-CN" w:bidi="ar"/>
              </w:rPr>
              <w:t>-黄皮、李子、</w:t>
            </w:r>
          </w:p>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柿子</w:t>
            </w:r>
          </w:p>
        </w:tc>
        <w:tc>
          <w:tcPr>
            <w:tcW w:w="158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2000</w:t>
            </w:r>
          </w:p>
        </w:tc>
        <w:tc>
          <w:tcPr>
            <w:tcW w:w="137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120</w:t>
            </w:r>
          </w:p>
        </w:tc>
        <w:tc>
          <w:tcPr>
            <w:tcW w:w="91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76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70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00" w:lineRule="exact"/>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岭南水果</w:t>
            </w:r>
            <w:r>
              <w:rPr>
                <w:rFonts w:hint="eastAsia" w:ascii="宋体" w:hAnsi="宋体" w:cs="宋体"/>
                <w:i w:val="0"/>
                <w:color w:val="000000"/>
                <w:kern w:val="0"/>
                <w:sz w:val="22"/>
                <w:szCs w:val="22"/>
                <w:u w:val="none"/>
                <w:lang w:val="en-US" w:eastAsia="zh-CN" w:bidi="ar"/>
              </w:rPr>
              <w:t>-无花果、葡萄、</w:t>
            </w:r>
          </w:p>
          <w:p>
            <w:pPr>
              <w:keepNext w:val="0"/>
              <w:keepLines w:val="0"/>
              <w:widowControl/>
              <w:suppressLineNumbers w:val="0"/>
              <w:spacing w:line="3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火龙果、蓝莓、枇杷</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70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00" w:lineRule="exact"/>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岭南水果</w:t>
            </w:r>
            <w:r>
              <w:rPr>
                <w:rFonts w:hint="eastAsia" w:ascii="宋体" w:hAnsi="宋体" w:cs="宋体"/>
                <w:i w:val="0"/>
                <w:color w:val="000000"/>
                <w:kern w:val="0"/>
                <w:sz w:val="22"/>
                <w:szCs w:val="22"/>
                <w:u w:val="none"/>
                <w:lang w:val="en-US" w:eastAsia="zh-CN" w:bidi="ar"/>
              </w:rPr>
              <w:t>-西瓜、草莓</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1000/1500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40/60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70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00" w:lineRule="exact"/>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岭南水果</w:t>
            </w:r>
            <w:r>
              <w:rPr>
                <w:rFonts w:hint="eastAsia" w:ascii="宋体" w:hAnsi="宋体" w:cs="宋体"/>
                <w:i w:val="0"/>
                <w:color w:val="000000"/>
                <w:kern w:val="0"/>
                <w:sz w:val="22"/>
                <w:szCs w:val="22"/>
                <w:u w:val="none"/>
                <w:lang w:val="en-US" w:eastAsia="zh-CN" w:bidi="ar"/>
              </w:rPr>
              <w:t>-荔枝、龙眼等</w:t>
            </w:r>
          </w:p>
          <w:p>
            <w:pPr>
              <w:keepNext w:val="0"/>
              <w:keepLines w:val="0"/>
              <w:widowControl/>
              <w:suppressLineNumbers w:val="0"/>
              <w:spacing w:line="3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其他水果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180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70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茶叶</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70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露地蔬菜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900/1500/2000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54</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90</w:t>
            </w: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20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70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大棚蔬菜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900/1500/2000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27</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45</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60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70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花卉苗木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(一年一茬、一年多茬）</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2.5%/5</w:t>
            </w:r>
            <w:r>
              <w:rPr>
                <w:rFonts w:hint="eastAsia" w:ascii="宋体" w:hAnsi="宋体" w:eastAsia="宋体" w:cs="宋体"/>
                <w:i w:val="0"/>
                <w:color w:val="000000"/>
                <w:kern w:val="0"/>
                <w:sz w:val="22"/>
                <w:szCs w:val="22"/>
                <w:u w:val="none"/>
                <w:lang w:val="en-US" w:eastAsia="zh-CN" w:bidi="ar"/>
              </w:rPr>
              <w:t>%</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75/150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70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花卉苗木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（多年</w:t>
            </w:r>
            <w:r>
              <w:rPr>
                <w:rFonts w:hint="eastAsia" w:ascii="宋体" w:hAnsi="宋体" w:cs="宋体"/>
                <w:i w:val="0"/>
                <w:color w:val="000000"/>
                <w:kern w:val="0"/>
                <w:sz w:val="22"/>
                <w:szCs w:val="22"/>
                <w:u w:val="none"/>
                <w:lang w:val="en-US" w:eastAsia="zh-CN" w:bidi="ar"/>
              </w:rPr>
              <w:t>生</w:t>
            </w: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2.5%/5</w:t>
            </w:r>
            <w:r>
              <w:rPr>
                <w:rFonts w:hint="eastAsia" w:ascii="宋体" w:hAnsi="宋体" w:eastAsia="宋体" w:cs="宋体"/>
                <w:i w:val="0"/>
                <w:color w:val="000000"/>
                <w:kern w:val="0"/>
                <w:sz w:val="22"/>
                <w:szCs w:val="22"/>
                <w:u w:val="none"/>
                <w:lang w:val="en-US" w:eastAsia="zh-CN" w:bidi="ar"/>
              </w:rPr>
              <w:t>%</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125/250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70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简易大棚</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150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70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钢结构大棚</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2.5</w:t>
            </w:r>
            <w:r>
              <w:rPr>
                <w:rFonts w:hint="eastAsia" w:ascii="宋体" w:hAnsi="宋体" w:eastAsia="宋体" w:cs="宋体"/>
                <w:i w:val="0"/>
                <w:color w:val="000000"/>
                <w:kern w:val="0"/>
                <w:sz w:val="22"/>
                <w:szCs w:val="22"/>
                <w:u w:val="none"/>
                <w:lang w:val="en-US" w:eastAsia="zh-CN" w:bidi="ar"/>
              </w:rPr>
              <w:t>%</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450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70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肉鸡</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0.54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70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肉鸭</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0.45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70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蛋鸡</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70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00" w:lineRule="exact"/>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省级水产养殖</w:t>
            </w:r>
          </w:p>
          <w:p>
            <w:pPr>
              <w:keepNext w:val="0"/>
              <w:keepLines w:val="0"/>
              <w:widowControl/>
              <w:suppressLineNumbers w:val="0"/>
              <w:spacing w:line="300" w:lineRule="exact"/>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（含淡水、咸淡水）</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540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70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现代化海洋牧场养殖</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另行制定</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1" w:hRule="atLeast"/>
        </w:trPr>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险种</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类型</w:t>
            </w:r>
          </w:p>
        </w:tc>
        <w:tc>
          <w:tcPr>
            <w:tcW w:w="2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险种</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保额</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费率</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保险费</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中央</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财政</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补贴</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省</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财政</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补贴</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市县</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财政</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补贴</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农户</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负担</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1"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元/亩、头、羽</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每造/年/批</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元</w:t>
            </w: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地方财政补贴型险种</w:t>
            </w: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大豆</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24</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bCs w:val="0"/>
                <w:color w:val="auto"/>
                <w:kern w:val="0"/>
                <w:sz w:val="22"/>
                <w:szCs w:val="22"/>
                <w:u w:val="none"/>
                <w:lang w:bidi="ar"/>
              </w:rPr>
              <w:t>盆栽</w:t>
            </w:r>
            <w:r>
              <w:rPr>
                <w:rFonts w:hint="eastAsia" w:ascii="宋体" w:hAnsi="宋体" w:eastAsia="宋体" w:cs="宋体"/>
                <w:bCs w:val="0"/>
                <w:color w:val="auto"/>
                <w:kern w:val="0"/>
                <w:sz w:val="22"/>
                <w:szCs w:val="22"/>
                <w:u w:val="none"/>
                <w:lang w:val="en-US" w:eastAsia="zh-CN" w:bidi="ar"/>
              </w:rPr>
              <w:t>-</w:t>
            </w:r>
            <w:r>
              <w:rPr>
                <w:rFonts w:hint="eastAsia" w:ascii="宋体" w:hAnsi="宋体" w:eastAsia="宋体" w:cs="宋体"/>
                <w:bCs w:val="0"/>
                <w:color w:val="auto"/>
                <w:kern w:val="0"/>
                <w:sz w:val="22"/>
                <w:szCs w:val="22"/>
                <w:u w:val="none"/>
                <w:lang w:eastAsia="zh-CN" w:bidi="ar"/>
              </w:rPr>
              <w:t>穴盘培养时期</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2.5%/5%</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0.0125/0.025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color w:val="000000"/>
                <w:kern w:val="0"/>
                <w:sz w:val="22"/>
                <w:szCs w:val="22"/>
                <w:u w:val="none"/>
                <w:lang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color w:val="000000"/>
                <w:kern w:val="0"/>
                <w:sz w:val="22"/>
                <w:szCs w:val="22"/>
                <w:u w:val="none"/>
                <w:lang w:eastAsia="zh-CN" w:bidi="ar"/>
              </w:rPr>
              <w:t>6</w:t>
            </w:r>
            <w:r>
              <w:rPr>
                <w:rFonts w:hint="eastAsia" w:ascii="宋体" w:hAnsi="宋体" w:eastAsia="宋体" w:cs="宋体"/>
                <w:color w:val="000000"/>
                <w:kern w:val="0"/>
                <w:sz w:val="22"/>
                <w:szCs w:val="22"/>
                <w:u w:val="none"/>
                <w:lang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color w:val="000000"/>
                <w:kern w:val="0"/>
                <w:sz w:val="22"/>
                <w:szCs w:val="22"/>
                <w:u w:val="none"/>
                <w:lang w:eastAsia="zh-CN" w:bidi="ar"/>
              </w:rPr>
              <w:t>4</w:t>
            </w:r>
            <w:r>
              <w:rPr>
                <w:rFonts w:hint="eastAsia" w:ascii="宋体" w:hAnsi="宋体" w:eastAsia="宋体" w:cs="宋体"/>
                <w:color w:val="000000"/>
                <w:kern w:val="0"/>
                <w:sz w:val="22"/>
                <w:szCs w:val="22"/>
                <w:u w:val="none"/>
                <w:lang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auto"/>
                <w:kern w:val="0"/>
                <w:sz w:val="22"/>
                <w:szCs w:val="22"/>
                <w:u w:val="none"/>
                <w:lang w:bidi="ar"/>
              </w:rPr>
            </w:pPr>
            <w:r>
              <w:rPr>
                <w:rFonts w:hint="eastAsia" w:ascii="宋体" w:hAnsi="宋体" w:eastAsia="宋体" w:cs="宋体"/>
                <w:bCs w:val="0"/>
                <w:color w:val="auto"/>
                <w:kern w:val="0"/>
                <w:sz w:val="22"/>
                <w:szCs w:val="22"/>
                <w:u w:val="none"/>
                <w:lang w:bidi="ar"/>
              </w:rPr>
              <w:t>盆栽</w:t>
            </w:r>
            <w:r>
              <w:rPr>
                <w:rFonts w:hint="eastAsia" w:ascii="宋体" w:hAnsi="宋体" w:eastAsia="宋体" w:cs="宋体"/>
                <w:bCs w:val="0"/>
                <w:color w:val="auto"/>
                <w:kern w:val="0"/>
                <w:sz w:val="22"/>
                <w:szCs w:val="22"/>
                <w:u w:val="none"/>
                <w:lang w:val="en-US" w:eastAsia="zh-CN" w:bidi="ar"/>
              </w:rPr>
              <w:t>-</w:t>
            </w:r>
            <w:r>
              <w:rPr>
                <w:rFonts w:hint="eastAsia" w:ascii="宋体" w:hAnsi="宋体" w:eastAsia="宋体" w:cs="宋体"/>
                <w:bCs w:val="0"/>
                <w:color w:val="auto"/>
                <w:kern w:val="0"/>
                <w:sz w:val="22"/>
                <w:szCs w:val="22"/>
                <w:u w:val="none"/>
                <w:lang w:bidi="ar"/>
              </w:rPr>
              <w:t>盆径</w:t>
            </w:r>
            <w:r>
              <w:rPr>
                <w:rFonts w:hint="eastAsia" w:ascii="宋体" w:hAnsi="宋体" w:eastAsia="宋体" w:cs="宋体"/>
                <w:bCs w:val="0"/>
                <w:color w:val="auto"/>
                <w:kern w:val="0"/>
                <w:sz w:val="22"/>
                <w:szCs w:val="22"/>
                <w:u w:val="none"/>
                <w:lang w:eastAsia="zh-CN" w:bidi="ar"/>
              </w:rPr>
              <w:t>小于</w:t>
            </w:r>
            <w:r>
              <w:rPr>
                <w:rFonts w:hint="eastAsia" w:ascii="宋体" w:hAnsi="宋体" w:eastAsia="宋体" w:cs="宋体"/>
                <w:bCs w:val="0"/>
                <w:color w:val="auto"/>
                <w:kern w:val="0"/>
                <w:sz w:val="22"/>
                <w:szCs w:val="22"/>
                <w:u w:val="none"/>
                <w:lang w:val="en-US" w:eastAsia="zh-CN" w:bidi="ar"/>
              </w:rPr>
              <w:t>90mm</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val="en-US" w:eastAsia="zh-CN" w:bidi="ar"/>
              </w:rPr>
              <w:t>2.5%/5%</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val="en-US" w:eastAsia="zh-CN" w:bidi="ar"/>
              </w:rPr>
              <w:t>0.025/0.05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eastAsia="zh-CN" w:bidi="ar"/>
              </w:rPr>
              <w:t>6</w:t>
            </w:r>
            <w:r>
              <w:rPr>
                <w:rFonts w:hint="eastAsia" w:ascii="宋体" w:hAnsi="宋体" w:eastAsia="宋体" w:cs="宋体"/>
                <w:color w:val="000000"/>
                <w:kern w:val="0"/>
                <w:sz w:val="22"/>
                <w:szCs w:val="22"/>
                <w:u w:val="none"/>
                <w:lang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eastAsia="zh-CN" w:bidi="ar"/>
              </w:rPr>
              <w:t>4</w:t>
            </w:r>
            <w:r>
              <w:rPr>
                <w:rFonts w:hint="eastAsia" w:ascii="宋体" w:hAnsi="宋体" w:eastAsia="宋体" w:cs="宋体"/>
                <w:color w:val="000000"/>
                <w:kern w:val="0"/>
                <w:sz w:val="22"/>
                <w:szCs w:val="22"/>
                <w:u w:val="none"/>
                <w:lang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auto"/>
                <w:kern w:val="0"/>
                <w:sz w:val="22"/>
                <w:szCs w:val="22"/>
                <w:u w:val="none"/>
                <w:lang w:bidi="ar"/>
              </w:rPr>
            </w:pPr>
            <w:r>
              <w:rPr>
                <w:rFonts w:hint="eastAsia" w:ascii="宋体" w:hAnsi="宋体" w:eastAsia="宋体" w:cs="宋体"/>
                <w:bCs w:val="0"/>
                <w:color w:val="auto"/>
                <w:kern w:val="0"/>
                <w:sz w:val="22"/>
                <w:szCs w:val="22"/>
                <w:u w:val="none"/>
                <w:lang w:bidi="ar"/>
              </w:rPr>
              <w:t>盆栽</w:t>
            </w:r>
            <w:r>
              <w:rPr>
                <w:rFonts w:hint="eastAsia" w:ascii="宋体" w:hAnsi="宋体" w:eastAsia="宋体" w:cs="宋体"/>
                <w:bCs w:val="0"/>
                <w:color w:val="auto"/>
                <w:kern w:val="0"/>
                <w:sz w:val="22"/>
                <w:szCs w:val="22"/>
                <w:u w:val="none"/>
                <w:lang w:val="en-US" w:eastAsia="zh-CN" w:bidi="ar"/>
              </w:rPr>
              <w:t>-</w:t>
            </w:r>
            <w:r>
              <w:rPr>
                <w:rFonts w:hint="eastAsia" w:ascii="宋体" w:hAnsi="宋体" w:eastAsia="宋体" w:cs="宋体"/>
                <w:bCs w:val="0"/>
                <w:color w:val="auto"/>
                <w:kern w:val="0"/>
                <w:sz w:val="22"/>
                <w:szCs w:val="22"/>
                <w:u w:val="none"/>
                <w:lang w:bidi="ar"/>
              </w:rPr>
              <w:t>盆径</w:t>
            </w:r>
            <w:r>
              <w:rPr>
                <w:rFonts w:hint="eastAsia" w:ascii="宋体" w:hAnsi="宋体" w:eastAsia="宋体" w:cs="宋体"/>
                <w:bCs w:val="0"/>
                <w:color w:val="auto"/>
                <w:kern w:val="0"/>
                <w:sz w:val="22"/>
                <w:szCs w:val="22"/>
                <w:u w:val="none"/>
                <w:lang w:val="en-US" w:eastAsia="zh-CN" w:bidi="ar"/>
              </w:rPr>
              <w:t>90-140mm</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val="en-US" w:eastAsia="zh-CN" w:bidi="ar"/>
              </w:rPr>
              <w:t>1.25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val="en-US" w:eastAsia="zh-CN" w:bidi="ar"/>
              </w:rPr>
              <w:t>2.5%/5%</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val="en-US" w:eastAsia="zh-CN" w:bidi="ar"/>
              </w:rPr>
              <w:t>0.03125/0.0625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eastAsia="zh-CN" w:bidi="ar"/>
              </w:rPr>
              <w:t>6</w:t>
            </w:r>
            <w:r>
              <w:rPr>
                <w:rFonts w:hint="eastAsia" w:ascii="宋体" w:hAnsi="宋体" w:eastAsia="宋体" w:cs="宋体"/>
                <w:color w:val="000000"/>
                <w:kern w:val="0"/>
                <w:sz w:val="22"/>
                <w:szCs w:val="22"/>
                <w:u w:val="none"/>
                <w:lang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eastAsia="zh-CN" w:bidi="ar"/>
              </w:rPr>
              <w:t>4</w:t>
            </w:r>
            <w:r>
              <w:rPr>
                <w:rFonts w:hint="eastAsia" w:ascii="宋体" w:hAnsi="宋体" w:eastAsia="宋体" w:cs="宋体"/>
                <w:color w:val="000000"/>
                <w:kern w:val="0"/>
                <w:sz w:val="22"/>
                <w:szCs w:val="22"/>
                <w:u w:val="none"/>
                <w:lang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auto"/>
                <w:kern w:val="0"/>
                <w:sz w:val="22"/>
                <w:szCs w:val="22"/>
                <w:u w:val="none"/>
                <w:lang w:bidi="ar"/>
              </w:rPr>
            </w:pPr>
            <w:r>
              <w:rPr>
                <w:rFonts w:hint="eastAsia" w:ascii="宋体" w:hAnsi="宋体" w:eastAsia="宋体" w:cs="宋体"/>
                <w:bCs w:val="0"/>
                <w:color w:val="auto"/>
                <w:kern w:val="0"/>
                <w:sz w:val="22"/>
                <w:szCs w:val="22"/>
                <w:u w:val="none"/>
                <w:lang w:bidi="ar"/>
              </w:rPr>
              <w:t>盆栽</w:t>
            </w:r>
            <w:r>
              <w:rPr>
                <w:rFonts w:hint="eastAsia" w:ascii="宋体" w:hAnsi="宋体" w:eastAsia="宋体" w:cs="宋体"/>
                <w:bCs w:val="0"/>
                <w:color w:val="auto"/>
                <w:kern w:val="0"/>
                <w:sz w:val="22"/>
                <w:szCs w:val="22"/>
                <w:u w:val="none"/>
                <w:lang w:val="en-US" w:eastAsia="zh-CN" w:bidi="ar"/>
              </w:rPr>
              <w:t>-</w:t>
            </w:r>
            <w:r>
              <w:rPr>
                <w:rFonts w:hint="eastAsia" w:ascii="宋体" w:hAnsi="宋体" w:eastAsia="宋体" w:cs="宋体"/>
                <w:bCs w:val="0"/>
                <w:color w:val="auto"/>
                <w:kern w:val="0"/>
                <w:sz w:val="22"/>
                <w:szCs w:val="22"/>
                <w:u w:val="none"/>
                <w:lang w:bidi="ar"/>
              </w:rPr>
              <w:t>盆径</w:t>
            </w:r>
            <w:r>
              <w:rPr>
                <w:rFonts w:hint="eastAsia" w:ascii="宋体" w:hAnsi="宋体" w:eastAsia="宋体" w:cs="宋体"/>
                <w:bCs w:val="0"/>
                <w:color w:val="auto"/>
                <w:kern w:val="0"/>
                <w:sz w:val="22"/>
                <w:szCs w:val="22"/>
                <w:u w:val="none"/>
                <w:lang w:val="en-US" w:eastAsia="zh-CN" w:bidi="ar"/>
              </w:rPr>
              <w:t>140-190mm</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val="en-US" w:eastAsia="zh-CN" w:bidi="ar"/>
              </w:rPr>
              <w:t>1.5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val="en-US" w:eastAsia="zh-CN" w:bidi="ar"/>
              </w:rPr>
              <w:t>2.5%/5%</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val="en-US" w:eastAsia="zh-CN" w:bidi="ar"/>
              </w:rPr>
              <w:t>0.0375/0.075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eastAsia="zh-CN" w:bidi="ar"/>
              </w:rPr>
              <w:t>6</w:t>
            </w:r>
            <w:r>
              <w:rPr>
                <w:rFonts w:hint="eastAsia" w:ascii="宋体" w:hAnsi="宋体" w:eastAsia="宋体" w:cs="宋体"/>
                <w:color w:val="000000"/>
                <w:kern w:val="0"/>
                <w:sz w:val="22"/>
                <w:szCs w:val="22"/>
                <w:u w:val="none"/>
                <w:lang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eastAsia="zh-CN" w:bidi="ar"/>
              </w:rPr>
              <w:t>4</w:t>
            </w:r>
            <w:r>
              <w:rPr>
                <w:rFonts w:hint="eastAsia" w:ascii="宋体" w:hAnsi="宋体" w:eastAsia="宋体" w:cs="宋体"/>
                <w:color w:val="000000"/>
                <w:kern w:val="0"/>
                <w:sz w:val="22"/>
                <w:szCs w:val="22"/>
                <w:u w:val="none"/>
                <w:lang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auto"/>
                <w:kern w:val="0"/>
                <w:sz w:val="22"/>
                <w:szCs w:val="22"/>
                <w:u w:val="none"/>
                <w:lang w:bidi="ar"/>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auto"/>
                <w:kern w:val="0"/>
                <w:sz w:val="22"/>
                <w:szCs w:val="22"/>
                <w:u w:val="none"/>
                <w:lang w:bidi="ar"/>
              </w:rPr>
            </w:pPr>
            <w:r>
              <w:rPr>
                <w:rFonts w:hint="eastAsia" w:ascii="宋体" w:hAnsi="宋体" w:eastAsia="宋体" w:cs="宋体"/>
                <w:bCs w:val="0"/>
                <w:color w:val="auto"/>
                <w:kern w:val="0"/>
                <w:sz w:val="22"/>
                <w:szCs w:val="22"/>
                <w:u w:val="none"/>
                <w:lang w:bidi="ar"/>
              </w:rPr>
              <w:t>盆栽</w:t>
            </w:r>
            <w:r>
              <w:rPr>
                <w:rFonts w:hint="eastAsia" w:ascii="宋体" w:hAnsi="宋体" w:eastAsia="宋体" w:cs="宋体"/>
                <w:bCs w:val="0"/>
                <w:color w:val="auto"/>
                <w:kern w:val="0"/>
                <w:sz w:val="22"/>
                <w:szCs w:val="22"/>
                <w:u w:val="none"/>
                <w:lang w:val="en-US" w:eastAsia="zh-CN" w:bidi="ar"/>
              </w:rPr>
              <w:t>-</w:t>
            </w:r>
            <w:r>
              <w:rPr>
                <w:rFonts w:hint="eastAsia" w:ascii="宋体" w:hAnsi="宋体" w:eastAsia="宋体" w:cs="宋体"/>
                <w:bCs w:val="0"/>
                <w:color w:val="auto"/>
                <w:kern w:val="0"/>
                <w:sz w:val="22"/>
                <w:szCs w:val="22"/>
                <w:u w:val="none"/>
                <w:lang w:bidi="ar"/>
              </w:rPr>
              <w:t>盆径</w:t>
            </w:r>
            <w:r>
              <w:rPr>
                <w:rFonts w:hint="eastAsia" w:ascii="宋体" w:hAnsi="宋体" w:eastAsia="宋体" w:cs="宋体"/>
                <w:bCs w:val="0"/>
                <w:color w:val="auto"/>
                <w:kern w:val="0"/>
                <w:sz w:val="22"/>
                <w:szCs w:val="22"/>
                <w:u w:val="none"/>
                <w:lang w:eastAsia="zh-CN" w:bidi="ar"/>
              </w:rPr>
              <w:t>大于</w:t>
            </w:r>
            <w:r>
              <w:rPr>
                <w:rFonts w:hint="eastAsia" w:ascii="宋体" w:hAnsi="宋体" w:eastAsia="宋体" w:cs="宋体"/>
                <w:bCs w:val="0"/>
                <w:color w:val="auto"/>
                <w:kern w:val="0"/>
                <w:sz w:val="22"/>
                <w:szCs w:val="22"/>
                <w:u w:val="none"/>
                <w:lang w:val="en-US" w:eastAsia="zh-CN" w:bidi="ar"/>
              </w:rPr>
              <w:t>190mm</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bCs w:val="0"/>
                <w:color w:val="000000"/>
                <w:kern w:val="0"/>
                <w:sz w:val="22"/>
                <w:szCs w:val="22"/>
                <w:u w:val="none"/>
                <w:lang w:val="en-US" w:eastAsia="zh-CN" w:bidi="ar"/>
              </w:rPr>
              <w:t>1.75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val="en-US" w:eastAsia="zh-CN" w:bidi="ar"/>
              </w:rPr>
              <w:t>2.5%/5%</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val="en-US" w:eastAsia="zh-CN" w:bidi="ar"/>
              </w:rPr>
              <w:t>0.04375/0.0875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eastAsia="zh-CN" w:bidi="ar"/>
              </w:rPr>
              <w:t>6</w:t>
            </w:r>
            <w:r>
              <w:rPr>
                <w:rFonts w:hint="eastAsia" w:ascii="宋体" w:hAnsi="宋体" w:eastAsia="宋体" w:cs="宋体"/>
                <w:color w:val="000000"/>
                <w:kern w:val="0"/>
                <w:sz w:val="22"/>
                <w:szCs w:val="22"/>
                <w:u w:val="none"/>
                <w:lang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napToGrid/>
              <w:spacing w:line="240" w:lineRule="auto"/>
              <w:ind w:left="0" w:leftChars="0" w:right="0" w:right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eastAsia="zh-CN" w:bidi="ar"/>
              </w:rPr>
              <w:t>4</w:t>
            </w:r>
            <w:r>
              <w:rPr>
                <w:rFonts w:hint="eastAsia" w:ascii="宋体" w:hAnsi="宋体" w:eastAsia="宋体" w:cs="宋体"/>
                <w:color w:val="000000"/>
                <w:kern w:val="0"/>
                <w:sz w:val="22"/>
                <w:szCs w:val="22"/>
                <w:u w:val="none"/>
                <w:lang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00"/>
                <w:kern w:val="0"/>
                <w:sz w:val="22"/>
                <w:szCs w:val="22"/>
                <w:u w:val="none"/>
                <w:lang w:bidi="ar"/>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高标钢构大棚</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32000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2.5%</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bidi="ar"/>
              </w:rPr>
            </w:pPr>
            <w:r>
              <w:rPr>
                <w:rFonts w:hint="eastAsia" w:ascii="宋体" w:hAnsi="宋体" w:eastAsia="宋体" w:cs="宋体"/>
                <w:i w:val="0"/>
                <w:color w:val="000000"/>
                <w:kern w:val="0"/>
                <w:sz w:val="22"/>
                <w:szCs w:val="22"/>
                <w:u w:val="none"/>
                <w:lang w:val="en-US" w:eastAsia="zh-CN" w:bidi="ar"/>
              </w:rPr>
              <w:t>800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eastAsia="zh-CN" w:bidi="ar"/>
              </w:rPr>
              <w:t>6</w:t>
            </w:r>
            <w:r>
              <w:rPr>
                <w:rFonts w:hint="eastAsia" w:ascii="宋体" w:hAnsi="宋体" w:eastAsia="宋体" w:cs="宋体"/>
                <w:color w:val="000000"/>
                <w:kern w:val="0"/>
                <w:sz w:val="22"/>
                <w:szCs w:val="22"/>
                <w:u w:val="none"/>
                <w:lang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eastAsia="zh-CN" w:bidi="ar"/>
              </w:rPr>
              <w:t>4</w:t>
            </w:r>
            <w:r>
              <w:rPr>
                <w:rFonts w:hint="eastAsia" w:ascii="宋体" w:hAnsi="宋体" w:eastAsia="宋体" w:cs="宋体"/>
                <w:color w:val="000000"/>
                <w:kern w:val="0"/>
                <w:sz w:val="22"/>
                <w:szCs w:val="22"/>
                <w:u w:val="none"/>
                <w:lang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00"/>
                <w:kern w:val="0"/>
                <w:sz w:val="22"/>
                <w:szCs w:val="22"/>
                <w:u w:val="none"/>
                <w:lang w:bidi="ar"/>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bidi="ar"/>
              </w:rPr>
              <w:t>高标钢构大棚（附加险）</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10000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5%</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500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eastAsia="zh-CN" w:bidi="ar"/>
              </w:rPr>
              <w:t>6</w:t>
            </w:r>
            <w:r>
              <w:rPr>
                <w:rFonts w:hint="eastAsia" w:ascii="宋体" w:hAnsi="宋体" w:eastAsia="宋体" w:cs="宋体"/>
                <w:color w:val="000000"/>
                <w:kern w:val="0"/>
                <w:sz w:val="22"/>
                <w:szCs w:val="22"/>
                <w:u w:val="none"/>
                <w:lang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color w:val="000000"/>
                <w:kern w:val="0"/>
                <w:sz w:val="22"/>
                <w:szCs w:val="22"/>
                <w:u w:val="none"/>
                <w:lang w:eastAsia="zh-CN" w:bidi="ar"/>
              </w:rPr>
              <w:t>4</w:t>
            </w:r>
            <w:r>
              <w:rPr>
                <w:rFonts w:hint="eastAsia" w:ascii="宋体" w:hAnsi="宋体" w:eastAsia="宋体" w:cs="宋体"/>
                <w:color w:val="000000"/>
                <w:kern w:val="0"/>
                <w:sz w:val="22"/>
                <w:szCs w:val="22"/>
                <w:u w:val="none"/>
                <w:lang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00"/>
                <w:kern w:val="0"/>
                <w:sz w:val="22"/>
                <w:szCs w:val="22"/>
                <w:u w:val="none"/>
                <w:lang w:bidi="ar"/>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地方水产养殖</w:t>
            </w:r>
          </w:p>
          <w:p>
            <w:pPr>
              <w:keepNext w:val="0"/>
              <w:keepLines w:val="0"/>
              <w:widowControl/>
              <w:suppressLineNumbers w:val="0"/>
              <w:spacing w:line="3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（含淡水、咸淡水）</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物化成本表</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4%/</w:t>
            </w:r>
            <w:r>
              <w:rPr>
                <w:rFonts w:hint="eastAsia" w:ascii="宋体" w:hAnsi="宋体" w:cs="宋体"/>
                <w:i w:val="0"/>
                <w:color w:val="000000"/>
                <w:kern w:val="0"/>
                <w:sz w:val="22"/>
                <w:szCs w:val="22"/>
                <w:u w:val="none"/>
                <w:lang w:val="en-US" w:eastAsia="zh-CN" w:bidi="ar"/>
              </w:rPr>
              <w:t>4.8</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6%</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 xml:space="preserve">——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50%</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50%</w:t>
            </w:r>
          </w:p>
        </w:tc>
      </w:tr>
    </w:tbl>
    <w:p>
      <w:pPr>
        <w:pStyle w:val="4"/>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仿宋_GB2312" w:hAnsi="仿宋_GB2312" w:eastAsia="仿宋_GB2312" w:cs="仿宋_GB2312"/>
          <w:bCs w:val="0"/>
          <w:color w:val="auto"/>
          <w:kern w:val="2"/>
          <w:sz w:val="21"/>
          <w:szCs w:val="21"/>
          <w:lang w:val="en-US" w:eastAsia="zh-CN" w:bidi="ar-SA"/>
        </w:rPr>
      </w:pPr>
      <w:r>
        <w:rPr>
          <w:rFonts w:hint="eastAsia" w:ascii="仿宋_GB2312" w:hAnsi="仿宋_GB2312" w:eastAsia="仿宋_GB2312" w:cs="仿宋_GB2312"/>
          <w:bCs w:val="0"/>
          <w:color w:val="auto"/>
          <w:kern w:val="2"/>
          <w:sz w:val="21"/>
          <w:szCs w:val="21"/>
          <w:lang w:val="en-US" w:eastAsia="zh-CN" w:bidi="ar-SA"/>
        </w:rPr>
        <w:t>说明：</w:t>
      </w:r>
    </w:p>
    <w:p>
      <w:pPr>
        <w:pStyle w:val="4"/>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仿宋_GB2312" w:hAnsi="仿宋_GB2312" w:eastAsia="仿宋_GB2312" w:cs="仿宋_GB2312"/>
          <w:bCs w:val="0"/>
          <w:color w:val="auto"/>
          <w:kern w:val="2"/>
          <w:sz w:val="21"/>
          <w:szCs w:val="21"/>
          <w:lang w:val="en-US" w:eastAsia="zh-CN" w:bidi="ar-SA"/>
        </w:rPr>
      </w:pPr>
      <w:r>
        <w:rPr>
          <w:rFonts w:hint="eastAsia" w:ascii="仿宋_GB2312" w:hAnsi="仿宋_GB2312" w:eastAsia="仿宋_GB2312" w:cs="仿宋_GB2312"/>
          <w:bCs w:val="0"/>
          <w:color w:val="auto"/>
          <w:kern w:val="2"/>
          <w:sz w:val="21"/>
          <w:szCs w:val="21"/>
          <w:lang w:val="en-US" w:eastAsia="zh-CN" w:bidi="ar-SA"/>
        </w:rPr>
        <w:t>蔬菜中叶菜每茬每亩保险金额900元、茎菜每茬每亩保险金额1500元、果菜每茬每亩保险金额2000元。</w:t>
      </w:r>
    </w:p>
    <w:p>
      <w:pPr>
        <w:pStyle w:val="4"/>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仿宋_GB2312" w:hAnsi="仿宋_GB2312" w:eastAsia="仿宋_GB2312" w:cs="仿宋_GB2312"/>
          <w:bCs w:val="0"/>
          <w:color w:val="auto"/>
          <w:kern w:val="2"/>
          <w:sz w:val="21"/>
          <w:szCs w:val="21"/>
          <w:lang w:val="en-US" w:eastAsia="zh-CN" w:bidi="ar-SA"/>
        </w:rPr>
      </w:pPr>
      <w:r>
        <w:rPr>
          <w:rFonts w:hint="eastAsia" w:ascii="仿宋_GB2312" w:hAnsi="仿宋_GB2312" w:eastAsia="仿宋_GB2312" w:cs="仿宋_GB2312"/>
          <w:bCs w:val="0"/>
          <w:color w:val="auto"/>
          <w:kern w:val="2"/>
          <w:sz w:val="21"/>
          <w:szCs w:val="21"/>
          <w:lang w:val="en-US" w:eastAsia="zh-CN" w:bidi="ar-SA"/>
        </w:rPr>
        <w:t>岭南水果中西瓜、草莓按造投保，西瓜每亩保险金额1000元，草莓每亩保险金额1500元。</w:t>
      </w:r>
    </w:p>
    <w:p>
      <w:pPr>
        <w:pStyle w:val="4"/>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仿宋_GB2312" w:hAnsi="仿宋_GB2312" w:eastAsia="仿宋_GB2312" w:cs="仿宋_GB2312"/>
          <w:bCs w:val="0"/>
          <w:color w:val="auto"/>
          <w:kern w:val="2"/>
          <w:sz w:val="21"/>
          <w:szCs w:val="21"/>
          <w:lang w:val="en-US" w:eastAsia="zh-CN" w:bidi="ar-SA"/>
        </w:rPr>
      </w:pPr>
      <w:r>
        <w:rPr>
          <w:rFonts w:hint="eastAsia" w:ascii="仿宋_GB2312" w:hAnsi="仿宋_GB2312" w:eastAsia="仿宋_GB2312" w:cs="仿宋_GB2312"/>
          <w:bCs w:val="0"/>
          <w:color w:val="auto"/>
          <w:kern w:val="2"/>
          <w:sz w:val="21"/>
          <w:szCs w:val="21"/>
          <w:lang w:val="en-US" w:eastAsia="zh-CN" w:bidi="ar-SA"/>
        </w:rPr>
        <w:t>花卉苗木（含盆栽）中大棚种植费率2.5%，露地种植费率5%。</w:t>
      </w:r>
    </w:p>
    <w:p>
      <w:pPr>
        <w:pStyle w:val="4"/>
        <w:numPr>
          <w:ilvl w:val="-1"/>
          <w:numId w:val="0"/>
        </w:numPr>
        <w:spacing w:line="300" w:lineRule="exact"/>
        <w:ind w:left="0" w:leftChars="0" w:firstLine="0" w:firstLineChars="0"/>
        <w:outlineLvl w:val="9"/>
        <w:rPr>
          <w:rFonts w:hint="eastAsia" w:ascii="仿宋_GB2312" w:hAnsi="仿宋_GB2312" w:eastAsia="仿宋_GB2312" w:cs="仿宋_GB2312"/>
          <w:color w:val="auto"/>
          <w:sz w:val="21"/>
          <w:szCs w:val="21"/>
          <w:lang w:val="en-US" w:eastAsia="zh-CN"/>
        </w:rPr>
        <w:sectPr>
          <w:pgSz w:w="11906" w:h="16838"/>
          <w:pgMar w:top="720" w:right="720" w:bottom="720" w:left="720" w:header="851" w:footer="992" w:gutter="0"/>
          <w:pgNumType w:fmt="numberInDash"/>
          <w:cols w:space="425" w:num="1"/>
          <w:docGrid w:type="lines" w:linePitch="312" w:charSpace="0"/>
        </w:sectPr>
      </w:pPr>
      <w:r>
        <w:rPr>
          <w:rFonts w:hint="eastAsia" w:ascii="仿宋_GB2312" w:hAnsi="仿宋_GB2312" w:eastAsia="仿宋_GB2312" w:cs="仿宋_GB2312"/>
          <w:color w:val="auto"/>
          <w:sz w:val="21"/>
          <w:szCs w:val="21"/>
          <w:lang w:val="en-US" w:eastAsia="zh-CN"/>
        </w:rPr>
        <w:t>4.地方水产养殖（含淡水、咸淡水）中3-6个月费率4%，7-9个月费率4.8%，10-15个月费率5.6%。</w:t>
      </w: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bl>
      <w:tblPr>
        <w:tblStyle w:val="8"/>
        <w:tblW w:w="104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06"/>
        <w:gridCol w:w="1896"/>
        <w:gridCol w:w="1788"/>
        <w:gridCol w:w="1248"/>
        <w:gridCol w:w="1284"/>
        <w:gridCol w:w="1068"/>
        <w:gridCol w:w="1236"/>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8" w:hRule="atLeast"/>
        </w:trPr>
        <w:tc>
          <w:tcPr>
            <w:tcW w:w="10466"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地方</w:t>
            </w:r>
            <w:r>
              <w:rPr>
                <w:rFonts w:hint="eastAsia" w:ascii="方正小标宋简体" w:hAnsi="方正小标宋简体" w:eastAsia="方正小标宋简体" w:cs="方正小标宋简体"/>
                <w:bCs w:val="0"/>
                <w:color w:val="000000"/>
                <w:kern w:val="0"/>
                <w:sz w:val="44"/>
                <w:szCs w:val="44"/>
                <w:u w:val="none"/>
                <w:lang w:val="en-US" w:eastAsia="zh-CN" w:bidi="ar"/>
              </w:rPr>
              <w:t>水产养殖品种保险金额一览表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编号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水产品种</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0"/>
                <w:szCs w:val="20"/>
                <w:u w:val="none"/>
                <w:lang w:val="en-US" w:eastAsia="zh-CN" w:bidi="ar"/>
              </w:rPr>
            </w:pPr>
            <w:r>
              <w:rPr>
                <w:rFonts w:hint="eastAsia" w:ascii="仿宋_GB2312" w:hAnsi="宋体" w:eastAsia="仿宋_GB2312" w:cs="仿宋_GB2312"/>
                <w:b/>
                <w:i w:val="0"/>
                <w:color w:val="000000"/>
                <w:kern w:val="0"/>
                <w:sz w:val="20"/>
                <w:szCs w:val="20"/>
                <w:u w:val="none"/>
                <w:lang w:val="en-US" w:eastAsia="zh-CN" w:bidi="ar"/>
              </w:rPr>
              <w:t xml:space="preserve"> 每亩保险金额</w:t>
            </w:r>
          </w:p>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（元/亩)</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参考生长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养殖期              </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参考每亩放养数量（尾）</w:t>
            </w:r>
          </w:p>
        </w:tc>
        <w:tc>
          <w:tcPr>
            <w:tcW w:w="10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参考每单位种苗单价（元/尾）</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参考每单位养殖费用成本（元/斤/尾）</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参考渔获期时估计每单位成品重量（斤）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鲢鱼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227.00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鳙鱼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680.00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淡水白鲳</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8,120.00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0.06</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乌头鲻</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8,120.00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黄尾鲻</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 xml:space="preserve">9,950.00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12个月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0.35</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土塘虱</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 xml:space="preserve">10,000.00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12个月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4000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0.4</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0.2-0.5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鲤鱼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12,600.00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0.15</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鲫鱼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12,600.00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r>
              <w:rPr>
                <w:rFonts w:hint="eastAsia" w:ascii="仿宋_GB2312" w:hAnsi="宋体" w:eastAsia="仿宋_GB2312" w:cs="仿宋_GB2312"/>
                <w:i w:val="0"/>
                <w:color w:val="000000"/>
                <w:kern w:val="0"/>
                <w:sz w:val="24"/>
                <w:szCs w:val="24"/>
                <w:u w:val="none"/>
                <w:lang w:val="en-US" w:eastAsia="zh-CN" w:bidi="ar"/>
              </w:rPr>
              <w:t>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0.2</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罗非鱼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14,640.00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鲮鱼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15,500.00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15月以上</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0.2</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胜斑鱼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18,000.00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乌鳢</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（生鱼）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19,000.00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9-12个月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草鱼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20,304.00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0.12</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牛蛙</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20,500.00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0.05</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盲曹鱼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21,420.00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0.6</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金鲳鱼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24,900.00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0.3</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太阳鱼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24,900.00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10-12个月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0.2</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金鼓鱼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25,025.00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1500—2000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澳洲宝石鲈</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25,600.00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10—11个月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0.8</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甲鱼（水鱼）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26,000.00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草龟</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26,000.00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15 -24个月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叉尾鮰</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27,450.00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14-16个月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0.15</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银鳕鱼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28,800.00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黑鳍鲷</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29,800.00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0.25</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鲻鱼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30,000.00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0.4</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巴鱼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31,500.00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10-15个月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吻鱼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33,000.00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黄鳍鲷</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34,800.00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0.7</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红鲤鱼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34,800.00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0.35</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武昌边鱼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46,080.00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0.8</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巴沙鱼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47,200.00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0.2</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黄骨鱼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48,300.00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0.03</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龙趸</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52,000.00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桂花鱼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55,200.00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花鳗鲡</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56,500.00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8.75</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编号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水产品种</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0"/>
                <w:szCs w:val="20"/>
                <w:u w:val="none"/>
                <w:lang w:val="en-US" w:eastAsia="zh-CN" w:bidi="ar"/>
              </w:rPr>
            </w:pPr>
            <w:r>
              <w:rPr>
                <w:rFonts w:hint="eastAsia" w:ascii="仿宋_GB2312" w:hAnsi="宋体" w:eastAsia="仿宋_GB2312" w:cs="仿宋_GB2312"/>
                <w:b/>
                <w:i w:val="0"/>
                <w:color w:val="000000"/>
                <w:kern w:val="0"/>
                <w:sz w:val="20"/>
                <w:szCs w:val="20"/>
                <w:u w:val="none"/>
                <w:lang w:val="en-US" w:eastAsia="zh-CN" w:bidi="ar"/>
              </w:rPr>
              <w:t xml:space="preserve"> 每亩保险金额</w:t>
            </w:r>
          </w:p>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（元/亩)</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参考生长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养殖期              </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参考每亩放养数量（尾）</w:t>
            </w:r>
          </w:p>
        </w:tc>
        <w:tc>
          <w:tcPr>
            <w:tcW w:w="10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参考每单位种苗单价（元/尾）</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参考每单位养殖费用成本（元/斤/尾）</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参考渔获期时估计每单位成品重量（斤）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泥鳅鱼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57,500.00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0.25</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甜菊鲷</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61,200.00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马鲅鱼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64,000.00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澳洲淡水黑鲷</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66,600.00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美国红鱼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76,500.00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鲥鱼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80,250.00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Style w:val="10"/>
                <w:rFonts w:hAnsi="宋体"/>
                <w:lang w:val="en-US" w:eastAsia="zh-CN" w:bidi="ar"/>
              </w:rPr>
              <w:t>光倒刺</w:t>
            </w:r>
            <w:r>
              <w:rPr>
                <w:rFonts w:hint="eastAsia" w:ascii="宋体" w:hAnsi="宋体" w:eastAsia="宋体" w:cs="宋体"/>
                <w:i w:val="0"/>
                <w:color w:val="000000"/>
                <w:kern w:val="0"/>
                <w:sz w:val="20"/>
                <w:szCs w:val="20"/>
                <w:u w:val="none"/>
                <w:lang w:val="en-US" w:eastAsia="zh-CN" w:bidi="ar"/>
              </w:rPr>
              <w:t>鲃</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82,650.00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青斑</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86,000.00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斑鱼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90,000.00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刺鳅鱼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90,000.00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加州鲈</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99,000.00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7-12个月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笋壳鱼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100,000.00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海鲈</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100,000.00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0.19</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鳗鲡</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100,000.00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10-15个月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鳄龟</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100,000.00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Style w:val="10"/>
                <w:rFonts w:hAnsi="宋体"/>
                <w:lang w:val="en-US" w:eastAsia="zh-CN" w:bidi="ar"/>
              </w:rPr>
              <w:t>30-36</w:t>
            </w:r>
            <w:r>
              <w:rPr>
                <w:rFonts w:hint="eastAsia" w:ascii="仿宋_GB2312" w:hAnsi="宋体" w:eastAsia="仿宋_GB2312" w:cs="仿宋_GB2312"/>
                <w:i w:val="0"/>
                <w:color w:val="000000"/>
                <w:kern w:val="0"/>
                <w:sz w:val="24"/>
                <w:szCs w:val="24"/>
                <w:u w:val="none"/>
                <w:lang w:val="en-US" w:eastAsia="zh-CN" w:bidi="ar"/>
              </w:rPr>
              <w:t>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珍珠鳖</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100,000.00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Style w:val="10"/>
                <w:rFonts w:hAnsi="宋体"/>
                <w:lang w:val="en-US" w:eastAsia="zh-CN" w:bidi="ar"/>
              </w:rPr>
              <w:t>36-40</w:t>
            </w:r>
            <w:r>
              <w:rPr>
                <w:rFonts w:hint="eastAsia" w:ascii="仿宋_GB2312" w:hAnsi="宋体" w:eastAsia="仿宋_GB2312" w:cs="仿宋_GB2312"/>
                <w:i w:val="0"/>
                <w:color w:val="000000"/>
                <w:kern w:val="0"/>
                <w:sz w:val="24"/>
                <w:szCs w:val="24"/>
                <w:u w:val="none"/>
                <w:lang w:val="en-US" w:eastAsia="zh-CN" w:bidi="ar"/>
              </w:rPr>
              <w:t>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w:t>
            </w:r>
          </w:p>
        </w:tc>
        <w:tc>
          <w:tcPr>
            <w:tcW w:w="18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鳄鱼</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100,000.00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Style w:val="10"/>
                <w:rFonts w:hAnsi="宋体"/>
                <w:lang w:val="en-US" w:eastAsia="zh-CN" w:bidi="ar"/>
              </w:rPr>
              <w:t>36-48</w:t>
            </w:r>
            <w:r>
              <w:rPr>
                <w:rFonts w:hint="eastAsia" w:ascii="仿宋_GB2312" w:hAnsi="宋体" w:eastAsia="仿宋_GB2312" w:cs="仿宋_GB2312"/>
                <w:i w:val="0"/>
                <w:color w:val="000000"/>
                <w:kern w:val="0"/>
                <w:sz w:val="24"/>
                <w:szCs w:val="24"/>
                <w:u w:val="none"/>
                <w:lang w:val="en-US" w:eastAsia="zh-CN" w:bidi="ar"/>
              </w:rPr>
              <w:t>个月</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304</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w:t>
            </w:r>
          </w:p>
        </w:tc>
      </w:tr>
    </w:tbl>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仿宋_GB2312" w:hAnsi="仿宋_GB2312" w:eastAsia="仿宋_GB2312" w:cs="仿宋_GB2312"/>
          <w:sz w:val="21"/>
          <w:szCs w:val="21"/>
          <w:lang w:val="en-US" w:eastAsia="zh-CN"/>
        </w:rPr>
      </w:pPr>
    </w:p>
    <w:p>
      <w:pPr>
        <w:pStyle w:val="4"/>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仿宋_GB2312" w:hAnsi="仿宋_GB2312" w:eastAsia="仿宋_GB2312" w:cs="仿宋_GB2312"/>
          <w:bCs w:val="0"/>
          <w:color w:val="auto"/>
          <w:kern w:val="2"/>
          <w:sz w:val="21"/>
          <w:szCs w:val="21"/>
          <w:lang w:val="en-US" w:eastAsia="zh-CN" w:bidi="ar-SA"/>
        </w:rPr>
      </w:pPr>
      <w:r>
        <w:rPr>
          <w:rFonts w:hint="eastAsia" w:ascii="仿宋_GB2312" w:hAnsi="仿宋_GB2312" w:eastAsia="仿宋_GB2312" w:cs="仿宋_GB2312"/>
          <w:bCs w:val="0"/>
          <w:color w:val="auto"/>
          <w:kern w:val="2"/>
          <w:sz w:val="21"/>
          <w:szCs w:val="21"/>
          <w:lang w:val="en-US" w:eastAsia="zh-CN" w:bidi="ar-SA"/>
        </w:rPr>
        <w:t>说明：</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outlineLvl w:val="9"/>
        <w:rPr>
          <w:rFonts w:hint="eastAsia" w:ascii="仿宋_GB2312" w:hAnsi="仿宋_GB2312" w:eastAsia="仿宋_GB2312" w:cs="仿宋_GB2312"/>
          <w:bCs w:val="0"/>
          <w:color w:val="auto"/>
          <w:kern w:val="2"/>
          <w:sz w:val="21"/>
          <w:szCs w:val="21"/>
          <w:lang w:val="en-US" w:eastAsia="zh-CN" w:bidi="ar-SA"/>
        </w:rPr>
      </w:pPr>
      <w:r>
        <w:rPr>
          <w:rFonts w:hint="eastAsia" w:ascii="仿宋_GB2312" w:hAnsi="仿宋_GB2312" w:eastAsia="仿宋_GB2312" w:cs="仿宋_GB2312"/>
          <w:bCs w:val="0"/>
          <w:color w:val="auto"/>
          <w:kern w:val="2"/>
          <w:sz w:val="21"/>
          <w:szCs w:val="21"/>
          <w:lang w:val="en-US" w:eastAsia="zh-CN" w:bidi="ar-SA"/>
        </w:rPr>
        <w:t>1.表中的各品种每亩养殖密度按照实际生产调整；每亩保险金额为最高限额值，超过不予补贴。</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textAlignment w:val="auto"/>
        <w:outlineLvl w:val="9"/>
        <w:rPr>
          <w:rFonts w:hint="eastAsia" w:ascii="黑体" w:hAnsi="黑体" w:eastAsia="黑体" w:cs="黑体"/>
          <w:sz w:val="32"/>
          <w:szCs w:val="32"/>
          <w:lang w:val="en-US" w:eastAsia="zh-CN"/>
        </w:rPr>
        <w:sectPr>
          <w:pgSz w:w="11906" w:h="16838"/>
          <w:pgMar w:top="720" w:right="720" w:bottom="720" w:left="720" w:header="851" w:footer="992" w:gutter="0"/>
          <w:pgNumType w:fmt="numberInDash"/>
          <w:cols w:space="425" w:num="1"/>
          <w:docGrid w:type="lines" w:linePitch="312" w:charSpace="0"/>
        </w:sectPr>
      </w:pPr>
      <w:r>
        <w:rPr>
          <w:rFonts w:hint="eastAsia" w:ascii="仿宋_GB2312" w:hAnsi="仿宋_GB2312" w:eastAsia="仿宋_GB2312" w:cs="仿宋_GB2312"/>
          <w:bCs w:val="0"/>
          <w:color w:val="auto"/>
          <w:kern w:val="2"/>
          <w:sz w:val="21"/>
          <w:szCs w:val="21"/>
          <w:lang w:val="en-US" w:eastAsia="zh-CN" w:bidi="ar-SA"/>
        </w:rPr>
        <w:t>2.混养塘的每口塘承保品种不超过3种；按各品种养殖比例*每口塘面积据实承保。</w:t>
      </w: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2"/>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保险名词释义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保险合同涉及下列术语时，适用下列释义：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1.暴雨：指每小时降雨量达16毫米以上，或连续12小时降雨量达30毫米以上，或连续24小时降雨量达50毫米以上的降雨。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2.暴风：指风力8级以上，风速在17.2米/秒以上的自然风。</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3.台风：属于热带气旋的一种，风力达12级以上的，统称为台风。</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4.龙卷风：一种范围小而时间短的猛烈旋风，典型巨大的龙卷风陆地上平均最大风速在79米/秒-103米/秒，极端最大风速在100米/秒以上。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5.洪水：指山洪暴发、江河泛滥、潮水上岸及倒灌或暴雨积水。规律性涨潮、海水倒灌、地下渗水不属于本保险合同约定的洪水。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6.灾害警报期：是指由各有关地区的相关部门通过电台、电视等多种媒体渠道发布的相关灾害的预警提醒，从发布灾害预警提醒开始到解除预警提醒为止。</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7.内涝：由于降水过多，地面积水不能及时排除，积水超过植株耐淹能力，造成植株受损（减产）。</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8.风灾：指风力达8级以上、风速在17.2米/秒以上的自然风。</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9.雹灾：指在对流性天气控制下，积雨云中凝结生成的冰块从空中降落，造成作物（动植物）严重的机械损伤而带来损失的现象。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10.冻灾：指因遇到０℃以下，引起作物（或动物）冰冻或是丧失一切生理活力，造成作物（或动物）死亡或部分死亡的现象。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11.雷击：指积雨云中、云间或云地之间产生的放电现象，其破坏形式分为直接雷击和感应雷击两种。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12.地震：指地壳发生的震动。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13.旱灾：指因自然气候的影响，土壤水与农作物生长需水不平衡造成植株异常水分短缺，从而直接导致农作物死亡、减产和绝收损失的现象。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14.火灾：指在时间或空间上失去控制的燃烧所造成的灾害。它必须同时具备以下三个条件：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（1）有燃烧现象，即有热有光有火焰；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（2）偶然、意外发生的燃烧；</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（3）燃烧失去控制并有蔓延扩大的趋势。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15.泥石流：指由于雨水、冰雪融化等水源激发的、含有大量泥沙石块的特殊洪流。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16.突发性滑坡：山体上不稳的岩土体在重力作用下突然发生的、并在较短时间内整体向下滑动的现象。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17.病虫草鼠害：指在一定条件下，由于微生物、昆虫、杂草和鼠类（检疫性生物除外）直接引起的农作物减产和绝收的灾害。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18.最大十分钟平均风速：是指每日的十分钟平均风速的最大值。（最大风速：指在一天给定时段内的10分钟平均风速的最大值）</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19.霾：指原因不明的大量烟、尘等微粒悬浮而形成的浑浊现象。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20.低温寒害：在0℃及以上，遭受24小时内降温10℃以上或48小时内降温12℃以上且最低气温降低于某温度（沿海地区7℃、其他地区5℃）以下的强冷空气，导致农产品无法正常生长发育进而引起产量损失。</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21.高温：日最高气温达到35℃以上的天气。</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22.热带气旋：是发生在热带或副热带洋面上的低压涡旋，是一种强大而深厚的热带天气系统。</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疫病、疾病：指突发性或具有高传染性病毒导致保险标的死亡，如：猪肺疫、猪水泡病、猪链球菌、猪乙型脑炎、猪支原体肺炎、猪传染性胃肠炎、猪魏氏梭菌病，口蹄疫、猪瘟、蓝耳病、流行热疫病、布鲁氏菌病、牛结核病、牛焦虫病、炭疽、伪狂犬病、副结核病、牛传染性鼻气管炎、牛出血性败血病、日本血吸虫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爆炸：包括物理性爆炸和化学性爆炸。物理性爆炸指由于液体、固体变为蒸汽或其他膨胀，压力急剧增加并超过容器所能承受的极限压力而发生的爆炸。化学性爆炸指物体在瞬间分解或燃烧时放出大量的热和气体，并以很大的压力向四周扩散的现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建筑物倒塌、空中运行物体坠落：指空中飞行器、人造卫星、陨石坠落，吊车、行车在运行时发生的物体坠落，人工开凿或爆炸而致石方、石块、土方飞射、塌下，建筑物倒塌、倒落、倾倒，以及其他空中运行物体坠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26.重大过失：指行为人不但没有遵守法律规范对其较高要求，甚至连人们都应当注意并能注意的一般标准也未达到。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27.一年生花卉：在一个或两个生长季内完成生活史的花卉，即从播种（移栽）到开花、结实、枯死均在一个或两个生长季内完成的花卉。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28.多年生花卉：个体寿命超过两年的，能多次开花结实的花卉。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29.日降雨量：是指在1日内，从天空降落到地面上的雨水，未经蒸发、渗透、流失而在水面上积聚的水层深度。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30.岩崩：石崖、土崖因自然风化、雨蚀，在重力作用下突然崩裂下落的自然现象。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31.病虫草鼠害：指在一定条件下，由于微生物、昆虫、杂草和鼠类（检疫性生物除外）直接引起的农作物减产和绝收的灾害。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32.野生动物毁损：是指因野生动物侵袭造成的保险标的损失。</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33.漫坎：由于自然灾害原因，鱼塘水位高于塘基，导致水表产逃逸情况。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t>34.溃坎:在保险期间内，由于暴雨、暴风、台风、龙卷风、洪水、雷击、地震、泥石流、河堤溃堤等原因直接造成保险水产品养殖鱼塘直接造成鱼塘溃堤，导致水产逃逸。</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tbl>
      <w:tblPr>
        <w:tblStyle w:val="8"/>
        <w:tblW w:w="146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9"/>
        <w:gridCol w:w="1056"/>
        <w:gridCol w:w="1104"/>
        <w:gridCol w:w="1236"/>
        <w:gridCol w:w="1056"/>
        <w:gridCol w:w="1092"/>
        <w:gridCol w:w="1188"/>
        <w:gridCol w:w="1056"/>
        <w:gridCol w:w="1008"/>
        <w:gridCol w:w="972"/>
        <w:gridCol w:w="1128"/>
        <w:gridCol w:w="1044"/>
        <w:gridCol w:w="1032"/>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8" w:hRule="atLeast"/>
        </w:trPr>
        <w:tc>
          <w:tcPr>
            <w:tcW w:w="14694" w:type="dxa"/>
            <w:gridSpan w:val="14"/>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广州市政策性</w:t>
            </w:r>
            <w:r>
              <w:rPr>
                <w:rStyle w:val="11"/>
                <w:lang w:val="en-US" w:eastAsia="zh-CN" w:bidi="ar"/>
              </w:rPr>
              <w:t xml:space="preserve">                 </w:t>
            </w:r>
            <w:r>
              <w:rPr>
                <w:rFonts w:hint="eastAsia" w:ascii="方正小标宋简体" w:hAnsi="方正小标宋简体" w:eastAsia="方正小标宋简体" w:cs="方正小标宋简体"/>
                <w:i w:val="0"/>
                <w:color w:val="000000"/>
                <w:kern w:val="0"/>
                <w:sz w:val="44"/>
                <w:szCs w:val="44"/>
                <w:u w:val="none"/>
                <w:lang w:val="en-US" w:eastAsia="zh-CN" w:bidi="ar"/>
              </w:rPr>
              <w:t>保险承保汇总表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989" w:type="dxa"/>
            <w:gridSpan w:val="3"/>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r>
              <w:rPr>
                <w:rStyle w:val="12"/>
                <w:lang w:val="en-US" w:eastAsia="zh-CN" w:bidi="ar"/>
              </w:rPr>
              <w:t xml:space="preserve">统计季度： </w:t>
            </w:r>
            <w:r>
              <w:rPr>
                <w:rStyle w:val="13"/>
                <w:lang w:val="en-US" w:eastAsia="zh-CN" w:bidi="ar"/>
              </w:rPr>
              <w:t xml:space="preserve">     </w:t>
            </w:r>
            <w:r>
              <w:rPr>
                <w:rStyle w:val="12"/>
                <w:lang w:val="en-US" w:eastAsia="zh-CN" w:bidi="ar"/>
              </w:rPr>
              <w:t xml:space="preserve"> 年 第 </w:t>
            </w:r>
            <w:r>
              <w:rPr>
                <w:rStyle w:val="13"/>
                <w:lang w:val="en-US" w:eastAsia="zh-CN" w:bidi="ar"/>
              </w:rPr>
              <w:t xml:space="preserve">     </w:t>
            </w:r>
            <w:r>
              <w:rPr>
                <w:rStyle w:val="12"/>
                <w:lang w:val="en-US" w:eastAsia="zh-CN" w:bidi="ar"/>
              </w:rPr>
              <w:t>季</w:t>
            </w:r>
          </w:p>
        </w:tc>
        <w:tc>
          <w:tcPr>
            <w:tcW w:w="123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5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88"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5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08"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28"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969" w:type="dxa"/>
            <w:gridSpan w:val="3"/>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单位：亩（头、羽、盆）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行政区域</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本季承保数量</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本季投保总金额</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本季投保总保费</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中央财政补贴</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省级财政补贴</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市本级财政补贴</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区级财政补贴</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补贴比例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补贴金额</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补贴比例</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补贴金额</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补贴比例</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补贴金额</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补贴比例</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补贴金额</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全市合计：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29"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6"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04"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36"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6"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92"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88"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56"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08"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28"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4"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32"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93"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29"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160" w:type="dxa"/>
            <w:gridSpan w:val="2"/>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保险机构盖章：</w:t>
            </w:r>
          </w:p>
        </w:tc>
        <w:tc>
          <w:tcPr>
            <w:tcW w:w="123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5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252" w:type="dxa"/>
            <w:gridSpan w:val="3"/>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农业农村主管部门盖章：</w:t>
            </w:r>
          </w:p>
        </w:tc>
        <w:tc>
          <w:tcPr>
            <w:tcW w:w="97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28"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4"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3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93"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29"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56"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104"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3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5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88"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08"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28"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4"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3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93"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tbl>
      <w:tblPr>
        <w:tblStyle w:val="8"/>
        <w:tblW w:w="145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1"/>
        <w:gridCol w:w="1164"/>
        <w:gridCol w:w="1200"/>
        <w:gridCol w:w="1080"/>
        <w:gridCol w:w="1008"/>
        <w:gridCol w:w="816"/>
        <w:gridCol w:w="900"/>
        <w:gridCol w:w="1080"/>
        <w:gridCol w:w="1296"/>
        <w:gridCol w:w="1056"/>
        <w:gridCol w:w="1068"/>
        <w:gridCol w:w="1092"/>
        <w:gridCol w:w="1092"/>
        <w:gridCol w:w="1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8" w:hRule="atLeast"/>
        </w:trPr>
        <w:tc>
          <w:tcPr>
            <w:tcW w:w="14554" w:type="dxa"/>
            <w:gridSpan w:val="14"/>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广州市政策性</w:t>
            </w:r>
            <w:r>
              <w:rPr>
                <w:rFonts w:hint="eastAsia" w:ascii="方正小标宋简体" w:hAnsi="方正小标宋简体" w:eastAsia="方正小标宋简体" w:cs="方正小标宋简体"/>
                <w:i w:val="0"/>
                <w:color w:val="000000"/>
                <w:kern w:val="0"/>
                <w:sz w:val="44"/>
                <w:szCs w:val="44"/>
                <w:u w:val="single"/>
                <w:lang w:val="en-US" w:eastAsia="zh-CN" w:bidi="ar"/>
              </w:rPr>
              <w:t xml:space="preserve">                </w:t>
            </w:r>
            <w:r>
              <w:rPr>
                <w:rFonts w:hint="eastAsia" w:ascii="方正小标宋简体" w:hAnsi="方正小标宋简体" w:eastAsia="方正小标宋简体" w:cs="方正小标宋简体"/>
                <w:i w:val="0"/>
                <w:color w:val="000000"/>
                <w:kern w:val="0"/>
                <w:sz w:val="44"/>
                <w:szCs w:val="44"/>
                <w:u w:val="none"/>
                <w:lang w:val="en-US" w:eastAsia="zh-CN" w:bidi="ar"/>
              </w:rPr>
              <w:t>保险承保明细表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5053" w:type="dxa"/>
            <w:gridSpan w:val="5"/>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统计季度：</w:t>
            </w:r>
            <w:r>
              <w:rPr>
                <w:rFonts w:hint="eastAsia" w:ascii="宋体" w:hAnsi="宋体" w:eastAsia="宋体" w:cs="宋体"/>
                <w:i w:val="0"/>
                <w:color w:val="000000"/>
                <w:kern w:val="0"/>
                <w:sz w:val="22"/>
                <w:szCs w:val="22"/>
                <w:u w:val="single"/>
                <w:lang w:val="en-US" w:eastAsia="zh-CN" w:bidi="ar"/>
              </w:rPr>
              <w:t xml:space="preserve">      </w:t>
            </w:r>
            <w:r>
              <w:rPr>
                <w:rFonts w:hint="eastAsia" w:ascii="宋体" w:hAnsi="宋体" w:eastAsia="宋体" w:cs="宋体"/>
                <w:i w:val="0"/>
                <w:color w:val="000000"/>
                <w:kern w:val="0"/>
                <w:sz w:val="22"/>
                <w:szCs w:val="22"/>
                <w:u w:val="none"/>
                <w:lang w:val="en-US" w:eastAsia="zh-CN" w:bidi="ar"/>
              </w:rPr>
              <w:t>年 第</w:t>
            </w:r>
            <w:r>
              <w:rPr>
                <w:rFonts w:hint="eastAsia" w:ascii="宋体" w:hAnsi="宋体" w:eastAsia="宋体" w:cs="宋体"/>
                <w:i w:val="0"/>
                <w:color w:val="000000"/>
                <w:kern w:val="0"/>
                <w:sz w:val="22"/>
                <w:szCs w:val="22"/>
                <w:u w:val="single"/>
                <w:lang w:val="en-US" w:eastAsia="zh-CN" w:bidi="ar"/>
              </w:rPr>
              <w:t xml:space="preserve">     </w:t>
            </w:r>
            <w:r>
              <w:rPr>
                <w:rFonts w:hint="eastAsia" w:ascii="宋体" w:hAnsi="宋体" w:eastAsia="宋体" w:cs="宋体"/>
                <w:i w:val="0"/>
                <w:color w:val="000000"/>
                <w:kern w:val="0"/>
                <w:sz w:val="22"/>
                <w:szCs w:val="22"/>
                <w:u w:val="none"/>
                <w:lang w:val="en-US" w:eastAsia="zh-CN" w:bidi="ar"/>
              </w:rPr>
              <w:t>季；承保总户数：</w:t>
            </w:r>
            <w:r>
              <w:rPr>
                <w:rFonts w:hint="eastAsia" w:ascii="宋体" w:hAnsi="宋体" w:eastAsia="宋体" w:cs="宋体"/>
                <w:i w:val="0"/>
                <w:color w:val="000000"/>
                <w:kern w:val="0"/>
                <w:sz w:val="22"/>
                <w:szCs w:val="22"/>
                <w:u w:val="single"/>
                <w:lang w:val="en-US" w:eastAsia="zh-CN" w:bidi="ar"/>
              </w:rPr>
              <w:t xml:space="preserve">    </w:t>
            </w:r>
            <w:r>
              <w:rPr>
                <w:rFonts w:hint="eastAsia" w:ascii="宋体" w:hAnsi="宋体" w:eastAsia="宋体" w:cs="宋体"/>
                <w:i w:val="0"/>
                <w:color w:val="000000"/>
                <w:kern w:val="0"/>
                <w:sz w:val="22"/>
                <w:szCs w:val="22"/>
                <w:u w:val="none"/>
                <w:lang w:val="en-US" w:eastAsia="zh-CN" w:bidi="ar"/>
              </w:rPr>
              <w:t>户</w:t>
            </w:r>
          </w:p>
        </w:tc>
        <w:tc>
          <w:tcPr>
            <w:tcW w:w="816"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0"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9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56"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52" w:type="dxa"/>
            <w:gridSpan w:val="3"/>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单位：亩（头、羽、盆） 元</w:t>
            </w:r>
          </w:p>
        </w:tc>
        <w:tc>
          <w:tcPr>
            <w:tcW w:w="1101"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被保险人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标的名称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保险数量</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标的种养地点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w:t>
            </w:r>
            <w:r>
              <w:rPr>
                <w:rFonts w:hint="default" w:ascii="Times New Roman" w:hAnsi="Times New Roman" w:eastAsia="宋体" w:cs="Times New Roman"/>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起始日</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w:t>
            </w:r>
            <w:r>
              <w:rPr>
                <w:rFonts w:hint="default" w:ascii="Times New Roman" w:hAnsi="Times New Roman" w:eastAsia="宋体" w:cs="Times New Roman"/>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终止日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保险金额</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总保费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中央补贴金额</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省级补贴金额</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市级补贴金额</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区级补贴金额</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农户缴费金额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6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20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0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1"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4"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08"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1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00"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9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5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68"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01"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1"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364" w:type="dxa"/>
            <w:gridSpan w:val="2"/>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保险机构盖章：</w:t>
            </w:r>
          </w:p>
        </w:tc>
        <w:tc>
          <w:tcPr>
            <w:tcW w:w="1080"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08"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4092" w:type="dxa"/>
            <w:gridSpan w:val="4"/>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农业农村主管部门盖章：</w:t>
            </w:r>
          </w:p>
        </w:tc>
        <w:tc>
          <w:tcPr>
            <w:tcW w:w="105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68"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01"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1"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4"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200"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08"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16"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900"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9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5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68"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01"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黑体" w:hAnsi="黑体" w:eastAsia="黑体" w:cs="黑体"/>
          <w:sz w:val="32"/>
          <w:szCs w:val="32"/>
          <w:lang w:val="en-US" w:eastAsia="zh-CN"/>
        </w:rPr>
      </w:pPr>
    </w:p>
    <w:sectPr>
      <w:pgSz w:w="16838" w:h="11906" w:orient="landscape"/>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posOffset>2419350</wp:posOffset>
              </wp:positionH>
              <wp:positionV relativeFrom="paragraph">
                <wp:posOffset>-87630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0.5pt;margin-top:-6.9pt;height:144pt;width:144pt;mso-position-horizontal-relative:margin;mso-wrap-style:none;z-index:251658240;mso-width-relative:page;mso-height-relative:page;" filled="f" stroked="f" coordsize="21600,21600" o:gfxdata="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3eVAo2AAAAAs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53739"/>
    <w:multiLevelType w:val="singleLevel"/>
    <w:tmpl w:val="80553739"/>
    <w:lvl w:ilvl="0" w:tentative="0">
      <w:start w:val="8"/>
      <w:numFmt w:val="chineseCounting"/>
      <w:suff w:val="nothing"/>
      <w:lvlText w:val="（%1）"/>
      <w:lvlJc w:val="left"/>
      <w:rPr>
        <w:rFonts w:hint="eastAsia"/>
      </w:rPr>
    </w:lvl>
  </w:abstractNum>
  <w:abstractNum w:abstractNumId="1">
    <w:nsid w:val="B54AB0BC"/>
    <w:multiLevelType w:val="singleLevel"/>
    <w:tmpl w:val="B54AB0BC"/>
    <w:lvl w:ilvl="0" w:tentative="0">
      <w:start w:val="9"/>
      <w:numFmt w:val="chineseCounting"/>
      <w:suff w:val="nothing"/>
      <w:lvlText w:val="%1、"/>
      <w:lvlJc w:val="left"/>
      <w:rPr>
        <w:rFonts w:hint="eastAsia"/>
      </w:rPr>
    </w:lvl>
  </w:abstractNum>
  <w:abstractNum w:abstractNumId="2">
    <w:nsid w:val="2F2CD923"/>
    <w:multiLevelType w:val="singleLevel"/>
    <w:tmpl w:val="2F2CD923"/>
    <w:lvl w:ilvl="0" w:tentative="0">
      <w:start w:val="1"/>
      <w:numFmt w:val="chineseCounting"/>
      <w:suff w:val="nothing"/>
      <w:lvlText w:val="%1、"/>
      <w:lvlJc w:val="left"/>
      <w:rPr>
        <w:rFonts w:hint="eastAsia"/>
      </w:rPr>
    </w:lvl>
  </w:abstractNum>
  <w:abstractNum w:abstractNumId="3">
    <w:nsid w:val="3E1EEB51"/>
    <w:multiLevelType w:val="singleLevel"/>
    <w:tmpl w:val="3E1EEB51"/>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B72E0"/>
    <w:rsid w:val="0209020C"/>
    <w:rsid w:val="0C8837B3"/>
    <w:rsid w:val="1A600233"/>
    <w:rsid w:val="1F7BAECC"/>
    <w:rsid w:val="32AD3D29"/>
    <w:rsid w:val="3FEEFCC9"/>
    <w:rsid w:val="51365467"/>
    <w:rsid w:val="523D70F1"/>
    <w:rsid w:val="54454680"/>
    <w:rsid w:val="55A725C8"/>
    <w:rsid w:val="625B72E0"/>
    <w:rsid w:val="6575840E"/>
    <w:rsid w:val="69347A15"/>
    <w:rsid w:val="BDA979C8"/>
    <w:rsid w:val="EE422256"/>
    <w:rsid w:val="F9EB36E7"/>
    <w:rsid w:val="FABD9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autoSpaceDE w:val="0"/>
      <w:autoSpaceDN w:val="0"/>
      <w:ind w:left="218" w:firstLine="643"/>
      <w:outlineLvl w:val="0"/>
    </w:pPr>
    <w:rPr>
      <w:rFonts w:eastAsia="仿宋" w:cs="仿宋"/>
      <w:b/>
      <w:bCs/>
      <w:szCs w:val="32"/>
      <w:lang w:val="zh-CN" w:bidi="zh-CN"/>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4">
    <w:name w:val="Body Text Indent"/>
    <w:basedOn w:val="1"/>
    <w:unhideWhenUsed/>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font31"/>
    <w:basedOn w:val="7"/>
    <w:qFormat/>
    <w:uiPriority w:val="0"/>
    <w:rPr>
      <w:rFonts w:hint="eastAsia" w:ascii="仿宋_GB2312" w:eastAsia="仿宋_GB2312" w:cs="仿宋_GB2312"/>
      <w:color w:val="000000"/>
      <w:sz w:val="20"/>
      <w:szCs w:val="20"/>
      <w:u w:val="none"/>
    </w:rPr>
  </w:style>
  <w:style w:type="character" w:customStyle="1" w:styleId="11">
    <w:name w:val="font11"/>
    <w:basedOn w:val="7"/>
    <w:qFormat/>
    <w:uiPriority w:val="0"/>
    <w:rPr>
      <w:rFonts w:hint="eastAsia" w:ascii="方正小标宋简体" w:hAnsi="方正小标宋简体" w:eastAsia="方正小标宋简体" w:cs="方正小标宋简体"/>
      <w:color w:val="000000"/>
      <w:sz w:val="44"/>
      <w:szCs w:val="44"/>
      <w:u w:val="single"/>
    </w:rPr>
  </w:style>
  <w:style w:type="character" w:customStyle="1" w:styleId="12">
    <w:name w:val="font41"/>
    <w:basedOn w:val="7"/>
    <w:qFormat/>
    <w:uiPriority w:val="0"/>
    <w:rPr>
      <w:rFonts w:hint="eastAsia" w:ascii="宋体" w:hAnsi="宋体" w:eastAsia="宋体" w:cs="宋体"/>
      <w:color w:val="000000"/>
      <w:sz w:val="22"/>
      <w:szCs w:val="22"/>
      <w:u w:val="none"/>
    </w:rPr>
  </w:style>
  <w:style w:type="character" w:customStyle="1" w:styleId="13">
    <w:name w:val="font01"/>
    <w:basedOn w:val="7"/>
    <w:qFormat/>
    <w:uiPriority w:val="0"/>
    <w:rPr>
      <w:rFonts w:hint="eastAsia" w:ascii="宋体" w:hAnsi="宋体" w:eastAsia="宋体" w:cs="宋体"/>
      <w:color w:val="000000"/>
      <w:sz w:val="22"/>
      <w:szCs w:val="22"/>
      <w:u w:val="single"/>
    </w:rPr>
  </w:style>
  <w:style w:type="character" w:customStyle="1" w:styleId="14">
    <w:name w:val="font51"/>
    <w:basedOn w:val="7"/>
    <w:qFormat/>
    <w:uiPriority w:val="0"/>
    <w:rPr>
      <w:rFonts w:hint="eastAsia" w:ascii="方正小标宋简体" w:hAnsi="方正小标宋简体" w:eastAsia="方正小标宋简体" w:cs="方正小标宋简体"/>
      <w:color w:val="000000"/>
      <w:sz w:val="44"/>
      <w:szCs w:val="44"/>
      <w:u w:val="single"/>
    </w:rPr>
  </w:style>
  <w:style w:type="character" w:customStyle="1" w:styleId="15">
    <w:name w:val="font21"/>
    <w:basedOn w:val="7"/>
    <w:qFormat/>
    <w:uiPriority w:val="0"/>
    <w:rPr>
      <w:rFonts w:hint="eastAsia" w:ascii="宋体" w:hAnsi="宋体" w:eastAsia="宋体" w:cs="宋体"/>
      <w:color w:val="000000"/>
      <w:sz w:val="22"/>
      <w:szCs w:val="22"/>
      <w:u w:val="single"/>
    </w:rPr>
  </w:style>
  <w:style w:type="character" w:customStyle="1" w:styleId="16">
    <w:name w:val="font61"/>
    <w:basedOn w:val="7"/>
    <w:qFormat/>
    <w:uiPriority w:val="0"/>
    <w:rPr>
      <w:rFonts w:hint="eastAsia" w:ascii="宋体" w:hAnsi="宋体" w:eastAsia="宋体" w:cs="宋体"/>
      <w:color w:val="000000"/>
      <w:sz w:val="22"/>
      <w:szCs w:val="22"/>
      <w:u w:val="none"/>
    </w:rPr>
  </w:style>
  <w:style w:type="character" w:customStyle="1" w:styleId="17">
    <w:name w:val="font71"/>
    <w:basedOn w:val="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2024-04-13T15:30:00Z</dcterms:created>
  <dc:creator>吕慧欣1665715330877</dc:creator>
  <cp:lastModifiedBy>谢钺1695022691494</cp:lastModifiedBy>
  <dcterms:modified xsi:type="dcterms:W3CDTF">2024-04-12T10:18:28Z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D84657BE7E011758CDA718665FEEBEC3</vt:lpwstr>
  </property>
</Properties>
</file>