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4" w:rsidRDefault="00E17364" w:rsidP="00E17364">
      <w:pPr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 xml:space="preserve">附表  </w:t>
      </w:r>
    </w:p>
    <w:p w:rsidR="00E17364" w:rsidRDefault="00E17364" w:rsidP="00E17364">
      <w:pPr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广州市</w:t>
      </w:r>
      <w:proofErr w:type="gramStart"/>
      <w:r>
        <w:rPr>
          <w:rFonts w:ascii="方正小标宋简体" w:eastAsia="方正小标宋简体" w:hint="eastAsia"/>
          <w:sz w:val="32"/>
        </w:rPr>
        <w:t>级农业</w:t>
      </w:r>
      <w:proofErr w:type="gramEnd"/>
      <w:r>
        <w:rPr>
          <w:rFonts w:ascii="方正小标宋简体" w:eastAsia="方正小标宋简体" w:hint="eastAsia"/>
          <w:sz w:val="32"/>
        </w:rPr>
        <w:t xml:space="preserve">公园认定评分表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752"/>
        <w:gridCol w:w="709"/>
        <w:gridCol w:w="709"/>
        <w:gridCol w:w="708"/>
        <w:gridCol w:w="1560"/>
        <w:gridCol w:w="708"/>
        <w:gridCol w:w="1276"/>
        <w:gridCol w:w="992"/>
        <w:gridCol w:w="992"/>
        <w:gridCol w:w="6096"/>
      </w:tblGrid>
      <w:tr w:rsidR="00E17364" w:rsidTr="00C14F08">
        <w:trPr>
          <w:trHeight w:hRule="exact" w:val="607"/>
          <w:jc w:val="center"/>
        </w:trPr>
        <w:tc>
          <w:tcPr>
            <w:tcW w:w="63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61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E17364" w:rsidTr="00C14F08">
        <w:trPr>
          <w:trHeight w:hRule="exact" w:val="397"/>
          <w:jc w:val="center"/>
        </w:trPr>
        <w:tc>
          <w:tcPr>
            <w:tcW w:w="632" w:type="dxa"/>
            <w:vMerge/>
          </w:tcPr>
          <w:p w:rsidR="00E17364" w:rsidRDefault="00E17364" w:rsidP="00C14F08">
            <w:pPr>
              <w:jc w:val="center"/>
              <w:rPr>
                <w:rFonts w:hint="eastAsia"/>
              </w:rPr>
            </w:pPr>
          </w:p>
        </w:tc>
        <w:tc>
          <w:tcPr>
            <w:tcW w:w="752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</w:tcPr>
          <w:p w:rsidR="00E17364" w:rsidRDefault="00E17364" w:rsidP="00C14F08">
            <w:pPr>
              <w:jc w:val="center"/>
            </w:pPr>
          </w:p>
        </w:tc>
        <w:tc>
          <w:tcPr>
            <w:tcW w:w="992" w:type="dxa"/>
            <w:vMerge/>
          </w:tcPr>
          <w:p w:rsidR="00E17364" w:rsidRDefault="00E17364" w:rsidP="00C14F08">
            <w:pPr>
              <w:jc w:val="center"/>
            </w:pPr>
          </w:p>
        </w:tc>
        <w:tc>
          <w:tcPr>
            <w:tcW w:w="992" w:type="dxa"/>
            <w:vMerge/>
          </w:tcPr>
          <w:p w:rsidR="00E17364" w:rsidRDefault="00E17364" w:rsidP="00C14F08">
            <w:pPr>
              <w:jc w:val="center"/>
            </w:pPr>
          </w:p>
        </w:tc>
        <w:tc>
          <w:tcPr>
            <w:tcW w:w="6096" w:type="dxa"/>
            <w:vMerge/>
          </w:tcPr>
          <w:p w:rsidR="00E17364" w:rsidRDefault="00E17364" w:rsidP="00C14F08">
            <w:pPr>
              <w:jc w:val="center"/>
            </w:pP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基本</w:t>
            </w:r>
          </w:p>
          <w:p w:rsidR="00E17364" w:rsidRDefault="00E17364" w:rsidP="00C14F08">
            <w:pPr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条件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35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面积条件</w:t>
            </w:r>
          </w:p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园区总面积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300</w:t>
            </w:r>
            <w:r>
              <w:rPr>
                <w:rFonts w:ascii="宋体" w:hAnsi="宋体" w:cs="仿宋" w:hint="eastAsia"/>
                <w:szCs w:val="21"/>
              </w:rPr>
              <w:t>亩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若实际值大于或等于目标值，得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分；若实际值小于目标值，不具备申报资格。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农业生产</w:t>
            </w:r>
          </w:p>
          <w:p w:rsidR="00E17364" w:rsidRDefault="00E17364" w:rsidP="00C14F0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面积占比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50%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分；若实际值小于目标值，计算方法为：得分</w:t>
            </w:r>
            <w:r>
              <w:rPr>
                <w:rFonts w:ascii="宋体" w:hAnsi="宋体" w:cs="仿宋" w:hint="eastAsia"/>
                <w:sz w:val="18"/>
                <w:szCs w:val="21"/>
              </w:rPr>
              <w:t>=</w:t>
            </w:r>
            <w:r>
              <w:rPr>
                <w:rFonts w:ascii="宋体" w:hAnsi="宋体" w:cs="仿宋" w:hint="eastAsia"/>
                <w:sz w:val="18"/>
                <w:szCs w:val="21"/>
              </w:rPr>
              <w:t>（实际值</w:t>
            </w:r>
            <w:r>
              <w:rPr>
                <w:rFonts w:ascii="宋体" w:hAnsi="宋体" w:cs="仿宋" w:hint="eastAsia"/>
                <w:sz w:val="18"/>
                <w:szCs w:val="21"/>
              </w:rPr>
              <w:t>/</w:t>
            </w:r>
            <w:r>
              <w:rPr>
                <w:rFonts w:ascii="宋体" w:hAnsi="宋体" w:cs="仿宋" w:hint="eastAsia"/>
                <w:sz w:val="18"/>
                <w:szCs w:val="21"/>
              </w:rPr>
              <w:t>目标值）×分值。</w:t>
            </w:r>
          </w:p>
        </w:tc>
      </w:tr>
      <w:tr w:rsidR="00E17364" w:rsidTr="00C14F08">
        <w:trPr>
          <w:trHeight w:hRule="exact" w:val="692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区位条件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可达性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距高速公路进出口</w:t>
            </w:r>
            <w:r>
              <w:rPr>
                <w:rFonts w:ascii="宋体" w:hAnsi="宋体" w:cs="仿宋" w:hint="eastAsia"/>
                <w:sz w:val="18"/>
                <w:szCs w:val="21"/>
              </w:rPr>
              <w:t>10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公里以内的得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分，距省级及以上公路</w:t>
            </w:r>
            <w:r>
              <w:rPr>
                <w:rFonts w:ascii="宋体" w:hAnsi="宋体" w:cs="仿宋" w:hint="eastAsia"/>
                <w:sz w:val="18"/>
                <w:szCs w:val="21"/>
              </w:rPr>
              <w:t>5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公里以内且道路通畅，再得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公里内有公交（公共汽车、地铁、水上公交等），再得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依托一定居民区或重要景区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5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公里内有较成熟的居民区，得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</w:t>
            </w:r>
            <w:r>
              <w:rPr>
                <w:rFonts w:ascii="宋体" w:hAnsi="宋体" w:cs="仿宋" w:hint="eastAsia"/>
                <w:sz w:val="18"/>
                <w:szCs w:val="21"/>
              </w:rPr>
              <w:t>5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公里内有重要景区，再得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基础设施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13 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道路交通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园区有三级及以上公路，得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分；三级以下公路，得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分；有硬化路面，得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分；无硬化路面，得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31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指引标识系统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园区的标识系统完善，且设置服务问询中心的，得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分；标识系统基本完善的，得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分；标示系统欠缺的，得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487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停车场地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0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园区的停车场地整齐且基本能满足需要，得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分；有停车场但不能满足需要的，得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分；无停车场，得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市政设施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园区的电力、通讯、给排水、环卫设施（包括厕所）完善的，得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分；每欠缺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项扣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分；全部欠缺得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45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安全设施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0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园区在防火、防盗、防破坏、防自然灾害事故等设施的建设方面，十分完善得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分；较为完善得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分；设施缺失得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45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空间利用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集中连片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0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园区土地紧凑集中连片，得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分；连片程度一般，得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分，连片程度不好，得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功能分区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功能分区科学合理，得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分；功能分区比较合理，得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分；功能分区基本合理，得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分；功能分区混乱，得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12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休憩线路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线路设置形成环线，观赏面大，线路体系完善、合理得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分；线路有所欠缺得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分；线路缺失或混乱得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经营管理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管理制度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管理制度完善、职能分工明确得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分；管理制度不太完善得</w:t>
            </w:r>
            <w:r>
              <w:rPr>
                <w:rFonts w:ascii="宋体" w:hAnsi="宋体" w:cs="仿宋" w:hint="eastAsia"/>
                <w:sz w:val="18"/>
                <w:szCs w:val="21"/>
              </w:rPr>
              <w:t>1-2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分；无管理制度得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10"/>
          <w:jc w:val="center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管理水平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机构设置和人员配置合理，管理有效、经营有序得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分；管理有所欠缺得</w:t>
            </w:r>
            <w:r>
              <w:rPr>
                <w:rFonts w:ascii="宋体" w:hAnsi="宋体" w:cs="仿宋" w:hint="eastAsia"/>
                <w:sz w:val="18"/>
                <w:szCs w:val="21"/>
              </w:rPr>
              <w:t>1-2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分；管理缺失、经营混乱得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76"/>
          <w:jc w:val="center"/>
        </w:trPr>
        <w:tc>
          <w:tcPr>
            <w:tcW w:w="63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E17364" w:rsidRDefault="00E17364" w:rsidP="00C14F08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E17364" w:rsidTr="00C14F08">
        <w:trPr>
          <w:trHeight w:hRule="exact" w:val="571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40" w:lineRule="exact"/>
              <w:rPr>
                <w:rFonts w:ascii="仿宋" w:eastAsia="仿宋" w:hAnsi="仿宋" w:cs="仿宋" w:hint="eastAsia"/>
                <w:sz w:val="18"/>
                <w:szCs w:val="21"/>
              </w:rPr>
            </w:pPr>
          </w:p>
        </w:tc>
      </w:tr>
      <w:tr w:rsidR="00E17364" w:rsidTr="00C14F08">
        <w:trPr>
          <w:trHeight w:val="84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75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核心</w:t>
            </w:r>
          </w:p>
          <w:p w:rsidR="00E17364" w:rsidRDefault="00E17364" w:rsidP="00C14F0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条件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spacing w:line="360" w:lineRule="auto"/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产品与业务指标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农业生产收入</w:t>
            </w:r>
          </w:p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占比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50%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指农业生产的销售收入占园区销售收入总额的比例，其中门票收入不计入园区销售收入总额。若实际值大于或等于目标值，得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分；若实际值小于目标值，不具备申报资格。</w:t>
            </w:r>
          </w:p>
        </w:tc>
      </w:tr>
      <w:tr w:rsidR="00E17364" w:rsidTr="00C14F08">
        <w:trPr>
          <w:trHeight w:val="58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16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农产品安全性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/>
                <w:sz w:val="18"/>
                <w:szCs w:val="21"/>
              </w:rPr>
              <w:t>获得有机食品证书</w:t>
            </w:r>
            <w:r>
              <w:rPr>
                <w:rFonts w:ascii="宋体" w:hAnsi="宋体" w:cs="仿宋" w:hint="eastAsia"/>
                <w:sz w:val="18"/>
                <w:szCs w:val="21"/>
              </w:rPr>
              <w:t>、绿色食品证书或无公害农产品证书中任一项的，得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分；累计不超过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54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17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休憩项目类型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  <w:r>
              <w:rPr>
                <w:rFonts w:ascii="宋体" w:hAnsi="宋体" w:cs="仿宋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类型包括创造型、搜集型、科普教育型、运动游戏型、体验型、观赏型、团体型。若实际值大于目标值，得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分；若实际值小于目标值，计算方法为：得分</w:t>
            </w:r>
            <w:r>
              <w:rPr>
                <w:rFonts w:ascii="宋体" w:hAnsi="宋体" w:cs="仿宋" w:hint="eastAsia"/>
                <w:sz w:val="18"/>
                <w:szCs w:val="21"/>
              </w:rPr>
              <w:t>=</w:t>
            </w:r>
            <w:r>
              <w:rPr>
                <w:rFonts w:ascii="宋体" w:hAnsi="宋体" w:cs="仿宋" w:hint="eastAsia"/>
                <w:sz w:val="18"/>
                <w:szCs w:val="21"/>
              </w:rPr>
              <w:t>（实际值</w:t>
            </w:r>
            <w:r>
              <w:rPr>
                <w:rFonts w:ascii="宋体" w:hAnsi="宋体" w:cs="仿宋" w:hint="eastAsia"/>
                <w:sz w:val="18"/>
                <w:szCs w:val="21"/>
              </w:rPr>
              <w:t>/</w:t>
            </w:r>
            <w:r>
              <w:rPr>
                <w:rFonts w:ascii="宋体" w:hAnsi="宋体" w:cs="仿宋" w:hint="eastAsia"/>
                <w:sz w:val="18"/>
                <w:szCs w:val="21"/>
              </w:rPr>
              <w:t>目标值）×分值。</w:t>
            </w:r>
          </w:p>
        </w:tc>
      </w:tr>
      <w:tr w:rsidR="00E17364" w:rsidTr="00C14F08">
        <w:trPr>
          <w:trHeight w:val="60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18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休憩项目特色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所有休憩项目特色鲜明得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分，部分休憩项目特色鲜明得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份，个别休憩项目特色鲜明得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60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19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获得荣誉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在创建休闲农业和乡村旅游示范点、农业龙头企业、农民专业合作社示范社、家庭农场和农业标准化示范区等方面，获得国家级、省级、市级荣誉称号的，分别得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分。（每一项按最高级别荣誉计分，累计不超过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</w:tr>
      <w:tr w:rsidR="00E17364" w:rsidTr="00C14F08">
        <w:trPr>
          <w:trHeight w:val="487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技术指标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优势农产品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获得国家驰名商标证明或中国名牌产品证书得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分；获得省著名商标证书或省名牌产品证书得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分；获得市著名商标证书得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分；有农产品原产地证明或地理标志证明得</w:t>
            </w:r>
            <w:r>
              <w:rPr>
                <w:rFonts w:ascii="宋体" w:hAnsi="宋体" w:cs="仿宋" w:hint="eastAsia"/>
                <w:sz w:val="18"/>
                <w:szCs w:val="21"/>
              </w:rPr>
              <w:t>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分；累计不超过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477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21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农业科技应用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获得市级以上高新技术企业等称号的，得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分；在农业科技应用方面取得明显成效，在全市处于领先地位的，得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2-3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分；在农业科技应用方面取得一定效果的，得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  <w:r>
              <w:rPr>
                <w:rFonts w:ascii="宋体" w:hAnsi="宋体" w:cs="仿宋" w:hint="eastAsia"/>
                <w:sz w:val="18"/>
                <w:szCs w:val="21"/>
              </w:rPr>
              <w:t xml:space="preserve"> </w:t>
            </w:r>
          </w:p>
        </w:tc>
      </w:tr>
      <w:tr w:rsidR="00E17364" w:rsidTr="00C14F08">
        <w:trPr>
          <w:trHeight w:val="60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22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跨界融合程度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指园区通过互联网、物联网等手段或者平台促进一二三产业融合发展的程度。融合程度较高得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分，融合程度一般得</w:t>
            </w:r>
            <w:r>
              <w:rPr>
                <w:rFonts w:ascii="宋体" w:hAnsi="宋体" w:cs="仿宋" w:hint="eastAsia"/>
                <w:sz w:val="18"/>
                <w:szCs w:val="21"/>
              </w:rPr>
              <w:t>1-2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分，融合程度较差得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712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23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市场指标</w:t>
            </w:r>
          </w:p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接待人数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12</w:t>
            </w:r>
            <w:r>
              <w:rPr>
                <w:rFonts w:ascii="宋体" w:hAnsi="宋体" w:cs="仿宋" w:hint="eastAsia"/>
                <w:szCs w:val="21"/>
              </w:rPr>
              <w:t>万人次</w:t>
            </w:r>
            <w:r>
              <w:rPr>
                <w:rFonts w:ascii="宋体" w:hAnsi="宋体" w:cs="仿宋" w:hint="eastAsia"/>
                <w:szCs w:val="21"/>
              </w:rPr>
              <w:t>/</w:t>
            </w:r>
            <w:r>
              <w:rPr>
                <w:rFonts w:ascii="宋体" w:hAnsi="宋体" w:cs="仿宋"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5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分；若实际值小于目标值，计算方法为：得分</w:t>
            </w:r>
            <w:r>
              <w:rPr>
                <w:rFonts w:ascii="宋体" w:hAnsi="宋体" w:cs="仿宋" w:hint="eastAsia"/>
                <w:sz w:val="18"/>
                <w:szCs w:val="21"/>
              </w:rPr>
              <w:t>=</w:t>
            </w:r>
            <w:r>
              <w:rPr>
                <w:rFonts w:ascii="宋体" w:hAnsi="宋体" w:cs="仿宋" w:hint="eastAsia"/>
                <w:sz w:val="18"/>
                <w:szCs w:val="21"/>
              </w:rPr>
              <w:t>（实际值</w:t>
            </w:r>
            <w:r>
              <w:rPr>
                <w:rFonts w:ascii="宋体" w:hAnsi="宋体" w:cs="仿宋" w:hint="eastAsia"/>
                <w:sz w:val="18"/>
                <w:szCs w:val="21"/>
              </w:rPr>
              <w:t>/</w:t>
            </w:r>
            <w:r>
              <w:rPr>
                <w:rFonts w:ascii="宋体" w:hAnsi="宋体" w:cs="仿宋" w:hint="eastAsia"/>
                <w:sz w:val="18"/>
                <w:szCs w:val="21"/>
              </w:rPr>
              <w:t>目标值）×分值。</w:t>
            </w:r>
          </w:p>
        </w:tc>
      </w:tr>
      <w:tr w:rsidR="00E17364" w:rsidTr="00C14F08">
        <w:trPr>
          <w:trHeight w:val="92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24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营销渠道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具有一定影响力、长期的固定主题节事活动或建有专门的有效的职能营销渠道得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分；拥有固定的销售渠道或者营销合作商得</w:t>
            </w:r>
            <w:r>
              <w:rPr>
                <w:rFonts w:ascii="宋体" w:hAnsi="宋体" w:cs="仿宋" w:hint="eastAsia"/>
                <w:sz w:val="18"/>
                <w:szCs w:val="21"/>
              </w:rPr>
              <w:t>2-3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分；只</w:t>
            </w:r>
            <w:r>
              <w:rPr>
                <w:rFonts w:ascii="宋体" w:hAnsi="宋体" w:cs="仿宋"/>
                <w:sz w:val="18"/>
                <w:szCs w:val="21"/>
              </w:rPr>
              <w:t>有纸质宣传册得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分；无上述任何渠道得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75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25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市场知名度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市场知名度较高，得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分；知名度一般，得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1-3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分；没有知名度，得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454"/>
          <w:jc w:val="center"/>
        </w:trPr>
        <w:tc>
          <w:tcPr>
            <w:tcW w:w="63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61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right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E17364" w:rsidRDefault="00E17364" w:rsidP="00C14F08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E17364" w:rsidTr="00C14F08">
        <w:trPr>
          <w:trHeight w:hRule="exact" w:val="454"/>
          <w:jc w:val="center"/>
        </w:trPr>
        <w:tc>
          <w:tcPr>
            <w:tcW w:w="632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E17364" w:rsidRDefault="00E17364" w:rsidP="00C14F08">
            <w:pPr>
              <w:spacing w:line="240" w:lineRule="exact"/>
              <w:rPr>
                <w:rFonts w:ascii="仿宋" w:eastAsia="仿宋" w:hAnsi="仿宋" w:cs="仿宋" w:hint="eastAsia"/>
                <w:sz w:val="18"/>
                <w:szCs w:val="21"/>
              </w:rPr>
            </w:pPr>
          </w:p>
        </w:tc>
      </w:tr>
      <w:tr w:rsidR="00E17364" w:rsidTr="00C14F08">
        <w:trPr>
          <w:trHeight w:hRule="exact" w:val="577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26</w:t>
            </w:r>
          </w:p>
        </w:tc>
        <w:tc>
          <w:tcPr>
            <w:tcW w:w="75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社会贡献</w:t>
            </w:r>
          </w:p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吸纳就业人数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</w:t>
            </w:r>
            <w:r>
              <w:rPr>
                <w:rFonts w:ascii="宋体" w:hAnsi="宋体" w:cs="仿宋"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分；若实际值小于目标值，计算方法为：得分</w:t>
            </w:r>
            <w:r>
              <w:rPr>
                <w:rFonts w:ascii="宋体" w:hAnsi="宋体" w:cs="仿宋" w:hint="eastAsia"/>
                <w:sz w:val="18"/>
                <w:szCs w:val="21"/>
              </w:rPr>
              <w:t>=</w:t>
            </w:r>
            <w:r>
              <w:rPr>
                <w:rFonts w:ascii="宋体" w:hAnsi="宋体" w:cs="仿宋" w:hint="eastAsia"/>
                <w:sz w:val="18"/>
                <w:szCs w:val="21"/>
              </w:rPr>
              <w:t>（实际值</w:t>
            </w:r>
            <w:r>
              <w:rPr>
                <w:rFonts w:ascii="宋体" w:hAnsi="宋体" w:cs="仿宋" w:hint="eastAsia"/>
                <w:sz w:val="18"/>
                <w:szCs w:val="21"/>
              </w:rPr>
              <w:t>/</w:t>
            </w:r>
            <w:r>
              <w:rPr>
                <w:rFonts w:ascii="宋体" w:hAnsi="宋体" w:cs="仿宋" w:hint="eastAsia"/>
                <w:sz w:val="18"/>
                <w:szCs w:val="21"/>
              </w:rPr>
              <w:t>目标值）×分值。</w:t>
            </w:r>
          </w:p>
        </w:tc>
      </w:tr>
      <w:tr w:rsidR="00E17364" w:rsidTr="00C14F08">
        <w:trPr>
          <w:trHeight w:hRule="exact" w:val="1074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27</w:t>
            </w:r>
          </w:p>
        </w:tc>
        <w:tc>
          <w:tcPr>
            <w:tcW w:w="752" w:type="dxa"/>
            <w:vMerge/>
          </w:tcPr>
          <w:p w:rsidR="00E17364" w:rsidRDefault="00E17364" w:rsidP="00C14F08">
            <w:pPr>
              <w:jc w:val="center"/>
              <w:rPr>
                <w:rFonts w:ascii="仿宋_GB2312" w:eastAsia="仿宋_GB2312" w:hAnsi="仿宋" w:cs="仿宋" w:hint="eastAsia"/>
                <w:b/>
                <w:sz w:val="28"/>
                <w:szCs w:val="21"/>
              </w:rPr>
            </w:pPr>
          </w:p>
        </w:tc>
        <w:tc>
          <w:tcPr>
            <w:tcW w:w="709" w:type="dxa"/>
            <w:vMerge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本地关联主体</w:t>
            </w:r>
          </w:p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</w:t>
            </w:r>
            <w:r>
              <w:rPr>
                <w:rFonts w:ascii="宋体" w:hAnsi="宋体" w:cs="仿宋" w:hint="eastAsia"/>
                <w:szCs w:val="21"/>
              </w:rPr>
              <w:t>或</w:t>
            </w:r>
            <w:r>
              <w:rPr>
                <w:rFonts w:ascii="宋体" w:hAnsi="宋体" w:cs="仿宋" w:hint="eastAsia"/>
                <w:szCs w:val="21"/>
              </w:rPr>
              <w:t>150</w:t>
            </w:r>
            <w:r>
              <w:rPr>
                <w:rFonts w:ascii="宋体" w:hAnsi="宋体" w:cs="仿宋" w:hint="eastAsia"/>
                <w:szCs w:val="21"/>
              </w:rPr>
              <w:t>户</w:t>
            </w: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指园区紧密型带动农户（企业）</w:t>
            </w:r>
            <w:r>
              <w:rPr>
                <w:rFonts w:ascii="宋体" w:hAnsi="宋体" w:cs="仿宋" w:hint="eastAsia"/>
                <w:sz w:val="18"/>
                <w:szCs w:val="21"/>
              </w:rPr>
              <w:t>30</w:t>
            </w:r>
            <w:r>
              <w:rPr>
                <w:rFonts w:ascii="宋体" w:hAnsi="宋体" w:cs="仿宋" w:hint="eastAsia"/>
                <w:sz w:val="18"/>
                <w:szCs w:val="21"/>
              </w:rPr>
              <w:t>户或松散型带动农户（企业）</w:t>
            </w:r>
            <w:r>
              <w:rPr>
                <w:rFonts w:ascii="宋体" w:hAnsi="宋体" w:cs="仿宋" w:hint="eastAsia"/>
                <w:sz w:val="18"/>
                <w:szCs w:val="21"/>
              </w:rPr>
              <w:t>150</w:t>
            </w:r>
            <w:r>
              <w:rPr>
                <w:rFonts w:ascii="宋体" w:hAnsi="宋体" w:cs="仿宋" w:hint="eastAsia"/>
                <w:sz w:val="18"/>
                <w:szCs w:val="21"/>
              </w:rPr>
              <w:t>户。若实际值大于目标值，得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分；若实际值小于目标值，计算方法为：得分</w:t>
            </w:r>
            <w:r>
              <w:rPr>
                <w:rFonts w:ascii="宋体" w:hAnsi="宋体" w:cs="仿宋" w:hint="eastAsia"/>
                <w:sz w:val="18"/>
                <w:szCs w:val="21"/>
              </w:rPr>
              <w:t>=</w:t>
            </w:r>
            <w:r>
              <w:rPr>
                <w:rFonts w:ascii="宋体" w:hAnsi="宋体" w:cs="仿宋" w:hint="eastAsia"/>
                <w:sz w:val="18"/>
                <w:szCs w:val="21"/>
              </w:rPr>
              <w:t>（实际值</w:t>
            </w:r>
            <w:r>
              <w:rPr>
                <w:rFonts w:ascii="宋体" w:hAnsi="宋体" w:cs="仿宋" w:hint="eastAsia"/>
                <w:sz w:val="18"/>
                <w:szCs w:val="21"/>
              </w:rPr>
              <w:t>/</w:t>
            </w:r>
            <w:r>
              <w:rPr>
                <w:rFonts w:ascii="宋体" w:hAnsi="宋体" w:cs="仿宋" w:hint="eastAsia"/>
                <w:sz w:val="18"/>
                <w:szCs w:val="21"/>
              </w:rPr>
              <w:t>目标值）×分值。</w:t>
            </w:r>
            <w:r>
              <w:rPr>
                <w:rFonts w:ascii="宋体" w:hAnsi="宋体" w:cs="仿宋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 w:val="18"/>
                <w:szCs w:val="21"/>
              </w:rPr>
              <w:t>（紧密型</w:t>
            </w:r>
            <w:proofErr w:type="gramStart"/>
            <w:r>
              <w:rPr>
                <w:rFonts w:ascii="宋体" w:hAnsi="宋体" w:cs="仿宋" w:hint="eastAsia"/>
                <w:sz w:val="18"/>
                <w:szCs w:val="21"/>
              </w:rPr>
              <w:t>带动指</w:t>
            </w:r>
            <w:proofErr w:type="gramEnd"/>
            <w:r>
              <w:rPr>
                <w:rFonts w:ascii="宋体" w:hAnsi="宋体" w:cs="仿宋" w:hint="eastAsia"/>
                <w:sz w:val="18"/>
                <w:szCs w:val="21"/>
              </w:rPr>
              <w:t>订单收购和吸纳就业，松散型</w:t>
            </w:r>
            <w:proofErr w:type="gramStart"/>
            <w:r>
              <w:rPr>
                <w:rFonts w:ascii="宋体" w:hAnsi="宋体" w:cs="仿宋" w:hint="eastAsia"/>
                <w:sz w:val="18"/>
                <w:szCs w:val="21"/>
              </w:rPr>
              <w:t>带动指</w:t>
            </w:r>
            <w:proofErr w:type="gramEnd"/>
            <w:r>
              <w:rPr>
                <w:rFonts w:ascii="宋体" w:hAnsi="宋体" w:cs="仿宋" w:hint="eastAsia"/>
                <w:sz w:val="18"/>
                <w:szCs w:val="21"/>
              </w:rPr>
              <w:t>租用农民土地、收购农产品、技术培训和服务等）</w:t>
            </w:r>
          </w:p>
        </w:tc>
      </w:tr>
      <w:tr w:rsidR="00E17364" w:rsidTr="00C14F08">
        <w:trPr>
          <w:trHeight w:hRule="exact" w:val="577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28</w:t>
            </w:r>
          </w:p>
        </w:tc>
        <w:tc>
          <w:tcPr>
            <w:tcW w:w="752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依托条件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周边环境</w:t>
            </w: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生态环境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公里内的生态环境优良得</w:t>
            </w:r>
            <w:r>
              <w:rPr>
                <w:rFonts w:ascii="宋体" w:hAnsi="宋体" w:cs="仿宋" w:hint="eastAsia"/>
                <w:sz w:val="18"/>
                <w:szCs w:val="21"/>
              </w:rPr>
              <w:t>4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分；生态环境一般得</w:t>
            </w:r>
            <w:r>
              <w:rPr>
                <w:rFonts w:ascii="宋体" w:hAnsi="宋体" w:cs="仿宋" w:hint="eastAsia"/>
                <w:sz w:val="18"/>
                <w:szCs w:val="21"/>
              </w:rPr>
              <w:t>1-3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分；生态环境较差得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hRule="exact" w:val="57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29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村容村貌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1.5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公里内的社区建筑有序，干净整洁得</w:t>
            </w:r>
            <w:r>
              <w:rPr>
                <w:rFonts w:ascii="宋体" w:hAnsi="宋体" w:cs="仿宋" w:hint="eastAsia"/>
                <w:sz w:val="18"/>
                <w:szCs w:val="21"/>
              </w:rPr>
              <w:t>1.5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分；建筑、环境一般得</w:t>
            </w:r>
            <w:r>
              <w:rPr>
                <w:rFonts w:ascii="宋体" w:hAnsi="宋体" w:cs="仿宋" w:hint="eastAsia"/>
                <w:sz w:val="18"/>
                <w:szCs w:val="21"/>
              </w:rPr>
              <w:t>1</w:t>
            </w:r>
            <w:r>
              <w:rPr>
                <w:rFonts w:ascii="宋体" w:hAnsi="宋体" w:cs="仿宋" w:hint="eastAsia"/>
                <w:sz w:val="18"/>
                <w:szCs w:val="21"/>
              </w:rPr>
              <w:t>分；建筑环境较差得</w:t>
            </w:r>
            <w:r>
              <w:rPr>
                <w:rFonts w:ascii="宋体" w:hAnsi="宋体" w:cs="仿宋" w:hint="eastAsia"/>
                <w:sz w:val="18"/>
                <w:szCs w:val="21"/>
              </w:rPr>
              <w:t>0</w:t>
            </w:r>
            <w:r>
              <w:rPr>
                <w:rFonts w:ascii="宋体" w:hAnsi="宋体" w:cs="仿宋" w:hint="eastAsia"/>
                <w:sz w:val="18"/>
                <w:szCs w:val="21"/>
              </w:rPr>
              <w:t>分。</w:t>
            </w:r>
          </w:p>
        </w:tc>
      </w:tr>
      <w:tr w:rsidR="00E17364" w:rsidTr="00C14F08">
        <w:trPr>
          <w:trHeight w:val="533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社区文化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1.5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</w:t>
            </w:r>
            <w:r>
              <w:rPr>
                <w:rFonts w:ascii="宋体" w:hAnsi="宋体" w:cs="仿宋"/>
                <w:sz w:val="18"/>
                <w:szCs w:val="21"/>
              </w:rPr>
              <w:t>社区</w:t>
            </w:r>
            <w:r>
              <w:rPr>
                <w:rFonts w:ascii="宋体" w:hAnsi="宋体" w:cs="仿宋" w:hint="eastAsia"/>
                <w:sz w:val="18"/>
                <w:szCs w:val="21"/>
              </w:rPr>
              <w:t>有</w:t>
            </w:r>
            <w:r>
              <w:rPr>
                <w:rFonts w:ascii="宋体" w:hAnsi="宋体" w:cs="仿宋"/>
                <w:sz w:val="18"/>
                <w:szCs w:val="21"/>
              </w:rPr>
              <w:t>比较独特的民俗文化</w:t>
            </w:r>
            <w:r>
              <w:rPr>
                <w:rFonts w:ascii="宋体" w:hAnsi="宋体" w:cs="仿宋" w:hint="eastAsia"/>
                <w:sz w:val="18"/>
                <w:szCs w:val="21"/>
              </w:rPr>
              <w:t>、</w:t>
            </w:r>
            <w:r>
              <w:rPr>
                <w:rFonts w:ascii="宋体" w:hAnsi="宋体" w:cs="仿宋"/>
                <w:sz w:val="18"/>
                <w:szCs w:val="21"/>
              </w:rPr>
              <w:t>深厚的历史文化积淀</w:t>
            </w:r>
            <w:r>
              <w:rPr>
                <w:rFonts w:ascii="宋体" w:hAnsi="宋体" w:cs="仿宋" w:hint="eastAsia"/>
                <w:sz w:val="18"/>
                <w:szCs w:val="21"/>
              </w:rPr>
              <w:t>，得</w:t>
            </w:r>
            <w:r>
              <w:rPr>
                <w:rFonts w:ascii="宋体" w:hAnsi="宋体" w:cs="仿宋" w:hint="eastAsia"/>
                <w:sz w:val="18"/>
                <w:szCs w:val="21"/>
              </w:rPr>
              <w:t>1.5</w:t>
            </w:r>
            <w:r>
              <w:rPr>
                <w:rFonts w:ascii="宋体" w:hAnsi="宋体" w:cs="仿宋" w:hint="eastAsia"/>
                <w:sz w:val="18"/>
                <w:szCs w:val="21"/>
              </w:rPr>
              <w:t>分，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社区文化一般得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分；社区文化较差得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E17364" w:rsidTr="00C14F08">
        <w:trPr>
          <w:trHeight w:hRule="exact" w:val="565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31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配套服务设施</w:t>
            </w:r>
          </w:p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餐饮服务设施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E17364" w:rsidRDefault="00E17364" w:rsidP="00C14F0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分；一般满足需求得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分；不能满足需求得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  <w:p w:rsidR="00E17364" w:rsidRDefault="00E17364" w:rsidP="00C14F0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17364" w:rsidRDefault="00E17364" w:rsidP="00C14F08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7364" w:rsidTr="00C14F08">
        <w:trPr>
          <w:trHeight w:hRule="exact" w:val="560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32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住宿服务设施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E17364" w:rsidRDefault="00E17364" w:rsidP="00C14F0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分；一般满足需求得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分；不能满足需求得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</w:tr>
      <w:tr w:rsidR="00E17364" w:rsidTr="00C14F08">
        <w:trPr>
          <w:trHeight w:hRule="exact" w:val="568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33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休闲娱乐设施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E17364" w:rsidRDefault="00E17364" w:rsidP="00C14F0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休闲娱乐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分；一般满足需求得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分；不能满足需求，则得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</w:tr>
      <w:tr w:rsidR="00E17364" w:rsidTr="00C14F08">
        <w:trPr>
          <w:trHeight w:hRule="exact" w:val="561"/>
          <w:jc w:val="center"/>
        </w:trPr>
        <w:tc>
          <w:tcPr>
            <w:tcW w:w="632" w:type="dxa"/>
            <w:vAlign w:val="center"/>
          </w:tcPr>
          <w:p w:rsidR="00E17364" w:rsidRDefault="00E17364" w:rsidP="00C14F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34</w:t>
            </w:r>
          </w:p>
        </w:tc>
        <w:tc>
          <w:tcPr>
            <w:tcW w:w="752" w:type="dxa"/>
            <w:vMerge/>
          </w:tcPr>
          <w:p w:rsidR="00E17364" w:rsidRDefault="00E17364" w:rsidP="00C14F08"/>
        </w:tc>
        <w:tc>
          <w:tcPr>
            <w:tcW w:w="709" w:type="dxa"/>
            <w:vMerge/>
          </w:tcPr>
          <w:p w:rsidR="00E17364" w:rsidRDefault="00E17364" w:rsidP="00C14F0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商业服务设施</w:t>
            </w:r>
          </w:p>
        </w:tc>
        <w:tc>
          <w:tcPr>
            <w:tcW w:w="708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7364" w:rsidRDefault="00E17364" w:rsidP="00C14F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E17364" w:rsidRDefault="00E17364" w:rsidP="00C14F0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</w:t>
            </w:r>
            <w:r>
              <w:rPr>
                <w:rFonts w:ascii="宋体" w:hAnsi="宋体" w:cs="仿宋" w:hint="eastAsia"/>
                <w:sz w:val="18"/>
                <w:szCs w:val="21"/>
              </w:rPr>
              <w:t>3</w:t>
            </w:r>
            <w:r>
              <w:rPr>
                <w:rFonts w:ascii="宋体" w:hAnsi="宋体" w:cs="仿宋" w:hint="eastAsia"/>
                <w:sz w:val="18"/>
                <w:szCs w:val="21"/>
              </w:rPr>
              <w:t>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分；一般满足需求得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分；不能满足需求得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</w:tr>
    </w:tbl>
    <w:p w:rsidR="00E17364" w:rsidRDefault="00E17364" w:rsidP="00E17364">
      <w:pPr>
        <w:rPr>
          <w:rFonts w:hint="eastAsia"/>
          <w:b/>
        </w:rPr>
      </w:pPr>
    </w:p>
    <w:p w:rsidR="00E17364" w:rsidRDefault="00E17364" w:rsidP="00E17364">
      <w:pPr>
        <w:rPr>
          <w:rFonts w:hint="eastAsia"/>
          <w:b/>
        </w:rPr>
      </w:pPr>
    </w:p>
    <w:p w:rsidR="00E17364" w:rsidRDefault="00E17364" w:rsidP="00E17364">
      <w:pPr>
        <w:rPr>
          <w:rFonts w:hint="eastAsia"/>
          <w:b/>
        </w:rPr>
      </w:pPr>
    </w:p>
    <w:p w:rsidR="00E17364" w:rsidRDefault="00E17364" w:rsidP="00E17364">
      <w:pPr>
        <w:rPr>
          <w:rFonts w:hint="eastAsia"/>
          <w:b/>
        </w:rPr>
      </w:pPr>
    </w:p>
    <w:p w:rsidR="00E17364" w:rsidRDefault="00E17364" w:rsidP="00E17364">
      <w:pPr>
        <w:rPr>
          <w:rFonts w:hint="eastAsia"/>
          <w:b/>
        </w:rPr>
      </w:pPr>
    </w:p>
    <w:p w:rsidR="00BB44D4" w:rsidRPr="00E17364" w:rsidRDefault="00BB44D4"/>
    <w:sectPr w:rsidR="00BB44D4" w:rsidRPr="00E17364" w:rsidSect="00E17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364"/>
    <w:rsid w:val="00BB44D4"/>
    <w:rsid w:val="00E1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采编编辑1511862221880</dc:creator>
  <cp:lastModifiedBy>采编编辑1511862221880</cp:lastModifiedBy>
  <cp:revision>1</cp:revision>
  <dcterms:created xsi:type="dcterms:W3CDTF">2017-11-28T09:59:00Z</dcterms:created>
  <dcterms:modified xsi:type="dcterms:W3CDTF">2017-11-28T09:59:00Z</dcterms:modified>
</cp:coreProperties>
</file>