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</w:rPr>
        <w:t>附件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  <w:t>广州市农业技术推广中心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鲜活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lang w:eastAsia="zh-CN"/>
        </w:rPr>
        <w:t>水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收购处置竞价须知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申请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根据市场行情报价，填写《鲜活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水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产品收购报价表》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，并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加盖公章，价格一经盖章确认不得修改，收购价为包括但不限于捕捞清塘的人工费、工具、运输等费用的全包价，请谨慎报价。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二、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申请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请于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本公告期内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提交密封报价表，本次竞价采用最高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总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价中标的原则。根据价格高低确定中标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申请企业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，若出现相同报价的，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收购处置响应时间短的中标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；若最高竞标价者放弃，由第二价高者中标，以此类推。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三、本公告中鲜活水产品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特指完成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水产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新品种新技术试验示范相关工作任务后，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具备商品价值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水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产品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，中标企业不得以广州市农业技术推广中心名义处置鲜活水产品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四、受天气、试验示范计划与实施情况影响，鲜活水产品处置种类、时间与数量以实际清塘情况为准。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五、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其他未尽事宜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广州市农业技术推广中心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拥有最终解释权。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6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60" w:firstLine="0" w:firstLineChars="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 xml:space="preserve">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 xml:space="preserve">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广州市农业技术推广中心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 xml:space="preserve">   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 xml:space="preserve">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 xml:space="preserve"> 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日</w:t>
      </w:r>
    </w:p>
    <w:sectPr>
      <w:pgSz w:w="11906" w:h="16838"/>
      <w:pgMar w:top="2041" w:right="1417" w:bottom="1701" w:left="1417" w:header="851" w:footer="1417" w:gutter="0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YmQ1NjY1MzRiYTU3NjIxNThhZTRiNjZjMDFjMzEifQ=="/>
  </w:docVars>
  <w:rsids>
    <w:rsidRoot w:val="16B92D93"/>
    <w:rsid w:val="16B92D93"/>
    <w:rsid w:val="19623C79"/>
    <w:rsid w:val="1E581672"/>
    <w:rsid w:val="304E6552"/>
    <w:rsid w:val="63664AE5"/>
    <w:rsid w:val="66F73C15"/>
    <w:rsid w:val="68F75ACC"/>
    <w:rsid w:val="695A18FF"/>
    <w:rsid w:val="77FFFCAA"/>
    <w:rsid w:val="CFEEF1A5"/>
    <w:rsid w:val="DCB917A3"/>
    <w:rsid w:val="DFBAA894"/>
    <w:rsid w:val="FD7A50E1"/>
    <w:rsid w:val="FF97D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2023-09-23T01:34:00Z</dcterms:created>
  <dc:creator>谢曼莹1673944446715</dc:creator>
  <cp:lastModifiedBy>谢曼莹1673944446715</cp:lastModifiedBy>
  <dcterms:modified xsi:type="dcterms:W3CDTF">2024-05-24T09:47:16Z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2EB37B23920E4A0FB2BD746DB394D44F_12</vt:lpwstr>
  </property>
</Properties>
</file>