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Style w:val="4"/>
          <w:rFonts w:ascii="宋体" w:hAnsi="宋体"/>
          <w:b/>
          <w:color w:val="000000"/>
          <w:sz w:val="44"/>
          <w:szCs w:val="44"/>
          <w:u w:val="none"/>
        </w:rPr>
      </w:pPr>
      <w:bookmarkStart w:id="34" w:name="_GoBack"/>
      <w:bookmarkEnd w:id="34"/>
      <w:r>
        <w:rPr>
          <w:rStyle w:val="4"/>
          <w:rFonts w:hint="eastAsia" w:ascii="宋体" w:hAnsi="宋体"/>
          <w:b/>
          <w:color w:val="000000"/>
          <w:sz w:val="44"/>
          <w:szCs w:val="44"/>
          <w:u w:val="none"/>
        </w:rPr>
        <w:t>202</w:t>
      </w:r>
      <w:r>
        <w:rPr>
          <w:rStyle w:val="4"/>
          <w:rFonts w:hint="eastAsia" w:ascii="宋体" w:hAnsi="宋体"/>
          <w:b/>
          <w:color w:val="000000"/>
          <w:sz w:val="44"/>
          <w:szCs w:val="44"/>
          <w:u w:val="none"/>
          <w:lang w:val="en-US" w:eastAsia="zh-CN"/>
        </w:rPr>
        <w:t>4</w:t>
      </w:r>
      <w:r>
        <w:rPr>
          <w:rStyle w:val="4"/>
          <w:rFonts w:hint="eastAsia" w:ascii="宋体" w:hAnsi="宋体"/>
          <w:b/>
          <w:color w:val="000000"/>
          <w:sz w:val="44"/>
          <w:szCs w:val="44"/>
          <w:u w:val="none"/>
        </w:rPr>
        <w:t>年广州农</w:t>
      </w:r>
      <w:bookmarkStart w:id="0" w:name="_Hlt36652662"/>
      <w:bookmarkStart w:id="1" w:name="_Hlt36652661"/>
      <w:r>
        <w:rPr>
          <w:rStyle w:val="4"/>
          <w:rFonts w:hint="eastAsia" w:ascii="宋体" w:hAnsi="宋体"/>
          <w:b/>
          <w:color w:val="000000"/>
          <w:sz w:val="44"/>
          <w:szCs w:val="44"/>
          <w:u w:val="none"/>
        </w:rPr>
        <w:t>博</w:t>
      </w:r>
      <w:bookmarkEnd w:id="0"/>
      <w:bookmarkEnd w:id="1"/>
      <w:r>
        <w:rPr>
          <w:rStyle w:val="4"/>
          <w:rFonts w:hint="eastAsia" w:ascii="宋体" w:hAnsi="宋体"/>
          <w:b/>
          <w:color w:val="000000"/>
          <w:sz w:val="44"/>
          <w:szCs w:val="44"/>
          <w:u w:val="none"/>
        </w:rPr>
        <w:t>士应用推广活动</w:t>
      </w:r>
    </w:p>
    <w:p>
      <w:pPr>
        <w:jc w:val="center"/>
        <w:rPr>
          <w:rStyle w:val="4"/>
          <w:rFonts w:ascii="宋体" w:hAnsi="宋体"/>
          <w:b/>
          <w:color w:val="000000"/>
          <w:sz w:val="44"/>
          <w:szCs w:val="44"/>
          <w:u w:val="none"/>
        </w:rPr>
      </w:pPr>
      <w:r>
        <w:rPr>
          <w:rStyle w:val="4"/>
          <w:rFonts w:hint="eastAsia" w:ascii="宋体" w:hAnsi="宋体"/>
          <w:b/>
          <w:color w:val="000000"/>
          <w:sz w:val="44"/>
          <w:szCs w:val="44"/>
          <w:u w:val="none"/>
        </w:rPr>
        <w:t>服务需求</w:t>
      </w:r>
    </w:p>
    <w:p>
      <w:pPr>
        <w:jc w:val="center"/>
        <w:rPr>
          <w:rStyle w:val="4"/>
          <w:rFonts w:ascii="宋体" w:hAnsi="宋体"/>
          <w:b/>
          <w:color w:val="000000"/>
          <w:sz w:val="44"/>
          <w:szCs w:val="44"/>
          <w:u w:val="none"/>
        </w:rPr>
      </w:pPr>
    </w:p>
    <w:p>
      <w:pPr>
        <w:rPr>
          <w:rFonts w:ascii="楷体_GB2312" w:hAnsi="仿宋" w:eastAsia="楷体_GB2312"/>
          <w:b/>
          <w:sz w:val="32"/>
          <w:szCs w:val="32"/>
        </w:rPr>
      </w:pPr>
      <w:r>
        <w:rPr>
          <w:rFonts w:hint="eastAsia" w:ascii="楷体_GB2312" w:hAnsi="仿宋" w:eastAsia="楷体_GB2312"/>
          <w:b/>
          <w:sz w:val="32"/>
          <w:szCs w:val="32"/>
          <w:highlight w:val="white"/>
        </w:rPr>
        <w:t>一、投标人资格要求</w:t>
      </w:r>
    </w:p>
    <w:p>
      <w:pPr>
        <w:ind w:firstLine="640" w:firstLineChars="200"/>
        <w:rPr>
          <w:rFonts w:ascii="仿宋" w:hAnsi="仿宋" w:eastAsia="仿宋"/>
          <w:sz w:val="32"/>
          <w:szCs w:val="32"/>
          <w:highlight w:val="green"/>
        </w:rPr>
      </w:pPr>
      <w:bookmarkStart w:id="2" w:name="EBef56cf8a3e2f4dd4bcf9d81e04fbecbd"/>
      <w:bookmarkStart w:id="3" w:name="_Toc457982242"/>
      <w:bookmarkStart w:id="4" w:name="_Toc457815845"/>
      <w:r>
        <w:rPr>
          <w:rFonts w:ascii="仿宋" w:hAnsi="仿宋" w:eastAsia="仿宋"/>
          <w:sz w:val="32"/>
          <w:szCs w:val="32"/>
          <w:highlight w:val="white"/>
        </w:rPr>
        <w:t>（一）符合《政府采购法》第二十二条所规定的条件；分公司投标的，必须由具有法人资格的总公司授权。</w:t>
      </w:r>
    </w:p>
    <w:p>
      <w:pPr>
        <w:ind w:firstLine="640" w:firstLineChars="200"/>
        <w:rPr>
          <w:rFonts w:ascii="仿宋" w:hAnsi="仿宋" w:eastAsia="仿宋"/>
          <w:sz w:val="32"/>
          <w:szCs w:val="32"/>
          <w:highlight w:val="green"/>
        </w:rPr>
      </w:pPr>
      <w:r>
        <w:rPr>
          <w:rFonts w:ascii="仿宋" w:hAnsi="仿宋" w:eastAsia="仿宋"/>
          <w:sz w:val="32"/>
          <w:szCs w:val="32"/>
          <w:highlight w:val="white"/>
        </w:rPr>
        <w:t>（二）本项目</w:t>
      </w:r>
      <w:r>
        <w:rPr>
          <w:rFonts w:hint="eastAsia" w:ascii="仿宋" w:hAnsi="仿宋" w:eastAsia="仿宋"/>
          <w:sz w:val="32"/>
          <w:szCs w:val="32"/>
          <w:highlight w:val="white"/>
        </w:rPr>
        <w:t>可</w:t>
      </w:r>
      <w:r>
        <w:rPr>
          <w:rFonts w:ascii="仿宋" w:hAnsi="仿宋" w:eastAsia="仿宋"/>
          <w:sz w:val="32"/>
          <w:szCs w:val="32"/>
          <w:highlight w:val="white"/>
        </w:rPr>
        <w:t>接受</w:t>
      </w:r>
      <w:r>
        <w:rPr>
          <w:rFonts w:hint="eastAsia" w:ascii="仿宋" w:hAnsi="仿宋" w:eastAsia="仿宋"/>
          <w:sz w:val="32"/>
          <w:szCs w:val="32"/>
          <w:highlight w:val="white"/>
        </w:rPr>
        <w:t>符合国家政策、工商行政、民政等主管部门许可成立的社会组织</w:t>
      </w:r>
      <w:r>
        <w:rPr>
          <w:rFonts w:ascii="仿宋" w:hAnsi="仿宋" w:eastAsia="仿宋"/>
          <w:sz w:val="32"/>
          <w:szCs w:val="32"/>
          <w:highlight w:val="white"/>
        </w:rPr>
        <w:t>投标。</w:t>
      </w:r>
    </w:p>
    <w:bookmarkEnd w:id="2"/>
    <w:p>
      <w:pPr>
        <w:rPr>
          <w:rFonts w:ascii="楷体_GB2312" w:hAnsi="仿宋" w:eastAsia="楷体_GB2312"/>
          <w:b/>
          <w:sz w:val="32"/>
          <w:szCs w:val="32"/>
          <w:highlight w:val="white"/>
        </w:rPr>
      </w:pPr>
      <w:r>
        <w:rPr>
          <w:rFonts w:hint="eastAsia" w:ascii="楷体_GB2312" w:hAnsi="仿宋" w:eastAsia="楷体_GB2312"/>
          <w:b/>
          <w:sz w:val="32"/>
          <w:szCs w:val="32"/>
          <w:highlight w:val="white"/>
        </w:rPr>
        <w:t>二、项目服务要求</w:t>
      </w:r>
      <w:bookmarkEnd w:id="3"/>
      <w:bookmarkEnd w:id="4"/>
    </w:p>
    <w:p>
      <w:pPr>
        <w:ind w:firstLine="630" w:firstLineChars="196"/>
        <w:rPr>
          <w:rFonts w:ascii="仿宋_GB2312" w:hAnsi="仿宋" w:eastAsia="仿宋_GB2312"/>
          <w:b/>
          <w:sz w:val="32"/>
          <w:szCs w:val="32"/>
          <w:highlight w:val="white"/>
        </w:rPr>
      </w:pPr>
      <w:bookmarkStart w:id="5" w:name="_Toc457815846"/>
      <w:bookmarkStart w:id="6" w:name="_Toc457982243"/>
      <w:r>
        <w:rPr>
          <w:rFonts w:hint="eastAsia" w:ascii="仿宋_GB2312" w:hAnsi="仿宋" w:eastAsia="仿宋_GB2312"/>
          <w:b/>
          <w:sz w:val="32"/>
          <w:szCs w:val="32"/>
          <w:highlight w:val="white"/>
        </w:rPr>
        <w:t>（一）服务要求</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highlight w:val="white"/>
        </w:rPr>
        <w:t>1.工作内容</w:t>
      </w:r>
    </w:p>
    <w:p>
      <w:pPr>
        <w:ind w:firstLine="640" w:firstLineChars="200"/>
        <w:rPr>
          <w:rFonts w:ascii="仿宋_GB2312" w:hAnsi="仿宋" w:eastAsia="仿宋_GB2312"/>
          <w:sz w:val="32"/>
          <w:szCs w:val="32"/>
        </w:rPr>
      </w:pPr>
      <w:r>
        <w:rPr>
          <w:rFonts w:hint="eastAsia" w:ascii="仿宋_GB2312" w:hAnsi="仿宋" w:eastAsia="仿宋_GB2312"/>
          <w:sz w:val="32"/>
          <w:szCs w:val="32"/>
        </w:rPr>
        <w:t>在业主指导下，负责对广州农博士应用现状与需求进行调研与分析，并进行应用推广活动方案设计，时间安排以及进行费用估算等，开展后续的应用推广活动工作。具体工作包括以下内容：</w:t>
      </w:r>
    </w:p>
    <w:p>
      <w:pPr>
        <w:ind w:firstLine="640" w:firstLineChars="200"/>
        <w:rPr>
          <w:rFonts w:ascii="仿宋_GB2312" w:hAnsi="仿宋" w:eastAsia="仿宋_GB2312"/>
          <w:sz w:val="32"/>
          <w:szCs w:val="32"/>
        </w:rPr>
      </w:pPr>
      <w:r>
        <w:rPr>
          <w:rFonts w:hint="eastAsia" w:ascii="仿宋_GB2312" w:hAnsi="仿宋" w:eastAsia="仿宋_GB2312"/>
          <w:sz w:val="32"/>
          <w:szCs w:val="32"/>
        </w:rPr>
        <w:t>（1）调研与分析。对广州农博士应用现状、全市各区的潜在的或者现有的农博士用户群体进行深入的需求调研、现场考察，整理收集的资料并加以分析。</w:t>
      </w:r>
    </w:p>
    <w:p>
      <w:pPr>
        <w:ind w:firstLine="640" w:firstLineChars="200"/>
        <w:rPr>
          <w:rFonts w:ascii="仿宋_GB2312" w:hAnsi="仿宋" w:eastAsia="仿宋_GB2312"/>
          <w:sz w:val="32"/>
          <w:szCs w:val="32"/>
        </w:rPr>
      </w:pPr>
      <w:r>
        <w:rPr>
          <w:rFonts w:hint="eastAsia" w:ascii="仿宋_GB2312" w:hAnsi="仿宋" w:eastAsia="仿宋_GB2312"/>
          <w:sz w:val="32"/>
          <w:szCs w:val="32"/>
        </w:rPr>
        <w:t>（2）编制广州农博士应用推广活动服务项目方案及项目费用概算。提供相对较优的活动服务方案，从项目要求、组织宣传、总体设计、等多方面进行充分阐述。对该项目方案的服务内容进行费用估算，对项目费用进行实际且充分的估算并对项目的经济效益和社会效益两个方面进行分析和阐述。</w:t>
      </w:r>
    </w:p>
    <w:p>
      <w:pPr>
        <w:ind w:firstLine="640" w:firstLineChars="200"/>
        <w:rPr>
          <w:rFonts w:ascii="仿宋_GB2312" w:hAnsi="仿宋" w:eastAsia="仿宋_GB2312"/>
          <w:sz w:val="32"/>
          <w:szCs w:val="32"/>
        </w:rPr>
      </w:pPr>
      <w:r>
        <w:rPr>
          <w:rFonts w:hint="eastAsia" w:ascii="仿宋_GB2312" w:hAnsi="仿宋" w:eastAsia="仿宋_GB2312"/>
          <w:sz w:val="32"/>
          <w:szCs w:val="32"/>
        </w:rPr>
        <w:t>（3）讲师团队根据调研的实际需求以及广州每个季度农业生产特点和需求，编制有针对性的以农业生产为主题的农技</w:t>
      </w:r>
      <w:r>
        <w:rPr>
          <w:rFonts w:hint="eastAsia" w:ascii="仿宋_GB2312" w:hAnsi="仿宋" w:eastAsia="仿宋_GB2312"/>
          <w:sz w:val="32"/>
          <w:szCs w:val="32"/>
          <w:lang w:eastAsia="zh-CN"/>
        </w:rPr>
        <w:t>推广</w:t>
      </w:r>
      <w:r>
        <w:rPr>
          <w:rFonts w:hint="eastAsia" w:ascii="仿宋_GB2312" w:hAnsi="仿宋" w:eastAsia="仿宋_GB2312"/>
          <w:sz w:val="32"/>
          <w:szCs w:val="32"/>
        </w:rPr>
        <w:t>课件及《202</w:t>
      </w:r>
      <w:r>
        <w:rPr>
          <w:rFonts w:hint="eastAsia" w:ascii="仿宋_GB2312" w:hAnsi="仿宋" w:eastAsia="仿宋_GB2312"/>
          <w:sz w:val="32"/>
          <w:szCs w:val="32"/>
          <w:lang w:val="en-US" w:eastAsia="zh-CN"/>
        </w:rPr>
        <w:t>4</w:t>
      </w:r>
      <w:r>
        <w:rPr>
          <w:rFonts w:hint="eastAsia" w:ascii="仿宋_GB2312" w:hAnsi="仿宋" w:eastAsia="仿宋_GB2312"/>
          <w:sz w:val="32"/>
          <w:szCs w:val="32"/>
        </w:rPr>
        <w:t>年广州农博士应用推广PPT》。</w:t>
      </w:r>
    </w:p>
    <w:p>
      <w:pPr>
        <w:ind w:firstLine="640" w:firstLineChars="200"/>
        <w:rPr>
          <w:rFonts w:ascii="仿宋_GB2312" w:hAnsi="仿宋" w:eastAsia="仿宋_GB2312"/>
          <w:sz w:val="32"/>
          <w:szCs w:val="32"/>
        </w:rPr>
      </w:pPr>
      <w:r>
        <w:rPr>
          <w:rFonts w:hint="eastAsia" w:ascii="仿宋_GB2312" w:hAnsi="仿宋" w:eastAsia="仿宋_GB2312"/>
          <w:sz w:val="32"/>
          <w:szCs w:val="32"/>
        </w:rPr>
        <w:t>（4）在业主的指导下负责完成应用推广活动的组织和实施工作。</w:t>
      </w:r>
    </w:p>
    <w:p>
      <w:pPr>
        <w:ind w:firstLine="640" w:firstLineChars="200"/>
        <w:rPr>
          <w:rFonts w:ascii="仿宋_GB2312" w:hAnsi="仿宋" w:eastAsia="仿宋_GB2312"/>
          <w:sz w:val="32"/>
          <w:szCs w:val="32"/>
        </w:rPr>
      </w:pPr>
      <w:r>
        <w:rPr>
          <w:rFonts w:hint="eastAsia" w:ascii="仿宋_GB2312" w:hAnsi="仿宋" w:eastAsia="仿宋_GB2312"/>
          <w:sz w:val="32"/>
          <w:szCs w:val="32"/>
        </w:rPr>
        <w:t>（5）编制应用推广活动工作总结，对应用推广活动成效进行深入分析，编制系统的完善方案和今后的应用推广方案。</w:t>
      </w:r>
    </w:p>
    <w:p>
      <w:pPr>
        <w:ind w:firstLine="630" w:firstLineChars="196"/>
        <w:rPr>
          <w:rFonts w:ascii="仿宋_GB2312" w:hAnsi="仿宋" w:eastAsia="仿宋_GB2312"/>
          <w:b/>
          <w:sz w:val="32"/>
          <w:szCs w:val="32"/>
          <w:highlight w:val="white"/>
        </w:rPr>
      </w:pPr>
      <w:bookmarkStart w:id="7" w:name="_Toc475540371"/>
      <w:r>
        <w:rPr>
          <w:rFonts w:hint="eastAsia" w:ascii="仿宋_GB2312" w:hAnsi="仿宋" w:eastAsia="仿宋_GB2312"/>
          <w:b/>
          <w:sz w:val="32"/>
          <w:szCs w:val="32"/>
        </w:rPr>
        <w:t>2.</w:t>
      </w:r>
      <w:r>
        <w:rPr>
          <w:rFonts w:hint="eastAsia" w:ascii="仿宋_GB2312" w:hAnsi="仿宋" w:eastAsia="仿宋_GB2312"/>
          <w:b/>
          <w:sz w:val="32"/>
          <w:szCs w:val="32"/>
          <w:highlight w:val="white"/>
        </w:rPr>
        <w:t>工作目标</w:t>
      </w:r>
      <w:bookmarkEnd w:id="7"/>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（1）完整性：方案必须是完整的，包括投标人实施项目工作的方方面面，并具备可操作性和可实施性。</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（2）系统性：方案需要考虑</w:t>
      </w:r>
      <w:r>
        <w:rPr>
          <w:rFonts w:hint="eastAsia" w:ascii="仿宋_GB2312" w:hAnsi="仿宋" w:eastAsia="仿宋_GB2312"/>
          <w:sz w:val="32"/>
          <w:szCs w:val="32"/>
          <w:lang w:eastAsia="zh-CN"/>
        </w:rPr>
        <w:t>推广</w:t>
      </w:r>
      <w:r>
        <w:rPr>
          <w:rFonts w:hint="eastAsia" w:ascii="仿宋_GB2312" w:hAnsi="仿宋" w:eastAsia="仿宋_GB2312"/>
          <w:sz w:val="32"/>
          <w:szCs w:val="32"/>
        </w:rPr>
        <w:t>活动方式与农村、城市、社区等实际情况之间的逻辑关系，需要考虑通过哪种形式才能让农博士服务平台使用群体接受，哪些实际经验可形成共性的借鉴，哪些是需要进一步优化的。</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 xml:space="preserve">（3）前瞻性：方案必须能提前遇见问题，及早规避问题。 </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（4）实用性：应用推广活动的内容需从应用出发，说明清楚产品的实用性，确保听众懂操作，会应用。</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（5）全局性：方案需使整个服务项目达到合理、可行、经济的目的。</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（6）规范性：方案严格按照国家相关规定和标准来运作，需求必须遵循实际。</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rPr>
        <w:t>3.</w:t>
      </w:r>
      <w:r>
        <w:rPr>
          <w:rFonts w:hint="eastAsia" w:ascii="仿宋_GB2312" w:hAnsi="仿宋" w:eastAsia="仿宋_GB2312"/>
          <w:b/>
          <w:sz w:val="32"/>
          <w:szCs w:val="32"/>
          <w:highlight w:val="white"/>
        </w:rPr>
        <w:t>项目成果要求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具体成果要求如下：</w:t>
      </w:r>
    </w:p>
    <w:p>
      <w:pPr>
        <w:ind w:firstLine="640" w:firstLineChars="200"/>
        <w:rPr>
          <w:rFonts w:ascii="仿宋_GB2312" w:hAnsi="仿宋" w:eastAsia="仿宋_GB2312"/>
          <w:sz w:val="32"/>
          <w:szCs w:val="32"/>
        </w:rPr>
      </w:pPr>
      <w:r>
        <w:rPr>
          <w:rFonts w:hint="eastAsia" w:ascii="仿宋_GB2312" w:hAnsi="仿宋" w:eastAsia="仿宋_GB2312"/>
          <w:sz w:val="32"/>
          <w:szCs w:val="32"/>
        </w:rPr>
        <w:t>（1）项目活动方案及应用推广活动课件等材料。</w:t>
      </w:r>
    </w:p>
    <w:p>
      <w:pPr>
        <w:ind w:firstLine="640" w:firstLineChars="200"/>
        <w:rPr>
          <w:rFonts w:ascii="仿宋_GB2312" w:hAnsi="仿宋" w:eastAsia="仿宋_GB2312"/>
          <w:sz w:val="32"/>
          <w:szCs w:val="32"/>
        </w:rPr>
      </w:pPr>
      <w:r>
        <w:rPr>
          <w:rFonts w:hint="eastAsia" w:ascii="仿宋_GB2312" w:hAnsi="仿宋" w:eastAsia="仿宋_GB2312"/>
          <w:sz w:val="32"/>
          <w:szCs w:val="32"/>
        </w:rPr>
        <w:t>（2）项目总结分析报告。</w:t>
      </w:r>
    </w:p>
    <w:p>
      <w:pPr>
        <w:ind w:firstLine="640" w:firstLineChars="200"/>
        <w:rPr>
          <w:rFonts w:ascii="仿宋_GB2312" w:hAnsi="仿宋" w:eastAsia="仿宋_GB2312"/>
          <w:sz w:val="32"/>
          <w:szCs w:val="32"/>
        </w:rPr>
      </w:pPr>
      <w:r>
        <w:rPr>
          <w:rFonts w:hint="eastAsia" w:ascii="仿宋_GB2312" w:hAnsi="仿宋" w:eastAsia="仿宋_GB2312"/>
          <w:sz w:val="32"/>
          <w:szCs w:val="32"/>
        </w:rPr>
        <w:t>（3）农博士下一步应用推广方案。</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rPr>
        <w:t>4.</w:t>
      </w:r>
      <w:r>
        <w:rPr>
          <w:rFonts w:hint="eastAsia" w:ascii="仿宋_GB2312" w:hAnsi="仿宋" w:eastAsia="仿宋_GB2312"/>
          <w:b/>
          <w:sz w:val="32"/>
          <w:szCs w:val="32"/>
          <w:highlight w:val="white"/>
        </w:rPr>
        <w:t>项目安全保密要求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本项目要求投标人：</w:t>
      </w:r>
    </w:p>
    <w:p>
      <w:pPr>
        <w:ind w:firstLine="640" w:firstLineChars="200"/>
        <w:rPr>
          <w:rFonts w:ascii="仿宋_GB2312" w:hAnsi="仿宋" w:eastAsia="仿宋_GB2312"/>
          <w:sz w:val="32"/>
          <w:szCs w:val="32"/>
        </w:rPr>
      </w:pPr>
      <w:r>
        <w:rPr>
          <w:rFonts w:hint="eastAsia" w:ascii="仿宋_GB2312" w:hAnsi="仿宋" w:eastAsia="仿宋_GB2312"/>
          <w:sz w:val="32"/>
          <w:szCs w:val="32"/>
        </w:rPr>
        <w:t>（1）按照国家、省市的有关法律法规文件规定，要求投标人履行保密责任，并遵守合同中有关保密要求；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（2）投标人各级组织严格履行保密职责；</w:t>
      </w:r>
    </w:p>
    <w:p>
      <w:pPr>
        <w:ind w:firstLine="640" w:firstLineChars="200"/>
        <w:rPr>
          <w:rFonts w:ascii="仿宋_GB2312" w:hAnsi="仿宋" w:eastAsia="仿宋_GB2312"/>
          <w:sz w:val="32"/>
          <w:szCs w:val="32"/>
        </w:rPr>
      </w:pPr>
      <w:r>
        <w:rPr>
          <w:rFonts w:hint="eastAsia" w:ascii="仿宋_GB2312" w:hAnsi="仿宋" w:eastAsia="仿宋_GB2312"/>
          <w:sz w:val="32"/>
          <w:szCs w:val="32"/>
        </w:rPr>
        <w:t>（3）按照保密规定开展工作。</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rPr>
        <w:t>5.</w:t>
      </w:r>
      <w:r>
        <w:rPr>
          <w:rFonts w:hint="eastAsia" w:ascii="仿宋_GB2312" w:hAnsi="仿宋" w:eastAsia="仿宋_GB2312"/>
          <w:b/>
          <w:sz w:val="32"/>
          <w:szCs w:val="32"/>
          <w:highlight w:val="white"/>
        </w:rPr>
        <w:t>项目实施单位考核要求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业主单位对投标人开展相关工作实行严格的服务质量考核，对其工作质量进行评价考核监督。考核内容包括但不限于以下要点：人员的工作态度、进度管理、服务成果、协调能力、遵章守纪等方面，由项目实施单位自评及业主单位指定人员对项目实施单位进行考核。</w:t>
      </w:r>
    </w:p>
    <w:p>
      <w:pPr>
        <w:ind w:firstLine="630" w:firstLineChars="196"/>
        <w:rPr>
          <w:rFonts w:ascii="仿宋_GB2312" w:hAnsi="仿宋" w:eastAsia="仿宋_GB2312"/>
          <w:b/>
          <w:sz w:val="32"/>
          <w:szCs w:val="32"/>
          <w:highlight w:val="white"/>
        </w:rPr>
      </w:pPr>
      <w:r>
        <w:rPr>
          <w:rFonts w:hint="eastAsia" w:ascii="仿宋_GB2312" w:hAnsi="仿宋" w:eastAsia="仿宋_GB2312"/>
          <w:b/>
          <w:sz w:val="32"/>
          <w:szCs w:val="32"/>
          <w:highlight w:val="white"/>
        </w:rPr>
        <w:t>（二）项目服务实施管理要求</w:t>
      </w:r>
      <w:bookmarkEnd w:id="5"/>
      <w:bookmarkEnd w:id="6"/>
    </w:p>
    <w:p>
      <w:pPr>
        <w:ind w:firstLine="630" w:firstLineChars="196"/>
        <w:rPr>
          <w:rFonts w:ascii="仿宋_GB2312" w:hAnsi="仿宋" w:eastAsia="仿宋_GB2312"/>
          <w:b/>
          <w:sz w:val="32"/>
          <w:szCs w:val="32"/>
          <w:highlight w:val="white"/>
        </w:rPr>
      </w:pPr>
      <w:bookmarkStart w:id="8" w:name="_Toc457815847"/>
      <w:bookmarkStart w:id="9" w:name="_Toc457982244"/>
      <w:r>
        <w:rPr>
          <w:rFonts w:hint="eastAsia" w:ascii="仿宋_GB2312" w:hAnsi="仿宋" w:eastAsia="仿宋_GB2312"/>
          <w:b/>
          <w:sz w:val="32"/>
          <w:szCs w:val="32"/>
        </w:rPr>
        <w:t>1.</w:t>
      </w:r>
      <w:r>
        <w:rPr>
          <w:rFonts w:hint="eastAsia" w:ascii="仿宋_GB2312" w:hAnsi="仿宋" w:eastAsia="仿宋_GB2312"/>
          <w:b/>
          <w:sz w:val="32"/>
          <w:szCs w:val="32"/>
          <w:highlight w:val="white"/>
        </w:rPr>
        <w:t>项目组织与人员要求</w:t>
      </w:r>
      <w:bookmarkEnd w:id="8"/>
      <w:bookmarkEnd w:id="9"/>
    </w:p>
    <w:p>
      <w:pPr>
        <w:ind w:firstLine="640" w:firstLineChars="200"/>
        <w:rPr>
          <w:rFonts w:ascii="仿宋_GB2312" w:hAnsi="仿宋" w:eastAsia="仿宋_GB2312"/>
          <w:sz w:val="32"/>
          <w:szCs w:val="32"/>
        </w:rPr>
      </w:pPr>
      <w:bookmarkStart w:id="10" w:name="_Toc397874212"/>
      <w:bookmarkStart w:id="11" w:name="_Toc353293602"/>
      <w:bookmarkStart w:id="12" w:name="_Toc2937"/>
      <w:r>
        <w:rPr>
          <w:rFonts w:hint="eastAsia" w:ascii="仿宋_GB2312" w:hAnsi="仿宋" w:eastAsia="仿宋_GB2312"/>
          <w:sz w:val="32"/>
          <w:szCs w:val="32"/>
        </w:rPr>
        <w:t>（1）项目组织</w:t>
      </w:r>
    </w:p>
    <w:p>
      <w:pPr>
        <w:ind w:firstLine="640" w:firstLineChars="200"/>
        <w:rPr>
          <w:rFonts w:ascii="仿宋_GB2312" w:hAnsi="仿宋" w:eastAsia="仿宋_GB2312"/>
          <w:sz w:val="32"/>
          <w:szCs w:val="32"/>
        </w:rPr>
      </w:pPr>
      <w:r>
        <w:rPr>
          <w:rFonts w:hint="eastAsia" w:ascii="仿宋_GB2312" w:hAnsi="仿宋" w:eastAsia="仿宋_GB2312"/>
          <w:sz w:val="32"/>
          <w:szCs w:val="32"/>
        </w:rPr>
        <w:t>为保障项目按质、按量、按时及有序实施，投标人应承诺对本项目须建立一个完善和稳定的项目团队、管理机构及执行流程。</w:t>
      </w:r>
    </w:p>
    <w:p>
      <w:pPr>
        <w:ind w:firstLine="640" w:firstLineChars="200"/>
        <w:rPr>
          <w:rFonts w:ascii="仿宋_GB2312" w:hAnsi="仿宋" w:eastAsia="仿宋_GB2312"/>
          <w:sz w:val="32"/>
          <w:szCs w:val="32"/>
        </w:rPr>
      </w:pPr>
      <w:r>
        <w:rPr>
          <w:rFonts w:hint="eastAsia" w:ascii="仿宋_GB2312" w:hAnsi="仿宋" w:eastAsia="仿宋_GB2312"/>
          <w:sz w:val="32"/>
          <w:szCs w:val="32"/>
        </w:rPr>
        <w:t>（2）人员配备要求</w:t>
      </w:r>
    </w:p>
    <w:p>
      <w:pPr>
        <w:ind w:firstLine="640" w:firstLineChars="200"/>
        <w:rPr>
          <w:rFonts w:ascii="仿宋_GB2312" w:hAnsi="仿宋" w:eastAsia="仿宋_GB2312"/>
          <w:sz w:val="32"/>
          <w:szCs w:val="32"/>
        </w:rPr>
      </w:pPr>
      <w:r>
        <w:rPr>
          <w:rFonts w:hint="eastAsia" w:ascii="仿宋_GB2312" w:hAnsi="仿宋" w:eastAsia="仿宋_GB2312"/>
          <w:sz w:val="32"/>
          <w:szCs w:val="32"/>
        </w:rPr>
        <w:t>在整个合同执行期间，如果项目组无法胜任项目工作要求，项目业主单位有权要求投标人调换项目主要人员，投标人应无条件接受。讲师必须具备所从事农业行业</w:t>
      </w:r>
      <w:r>
        <w:rPr>
          <w:rFonts w:hint="eastAsia" w:ascii="仿宋_GB2312" w:hAnsi="仿宋" w:eastAsia="仿宋_GB2312"/>
          <w:sz w:val="32"/>
          <w:szCs w:val="32"/>
          <w:lang w:eastAsia="zh-CN"/>
        </w:rPr>
        <w:t>推广</w:t>
      </w:r>
      <w:r>
        <w:rPr>
          <w:rFonts w:hint="eastAsia" w:ascii="仿宋_GB2312" w:hAnsi="仿宋" w:eastAsia="仿宋_GB2312"/>
          <w:sz w:val="32"/>
          <w:szCs w:val="32"/>
        </w:rPr>
        <w:t>工作的专业技术，</w:t>
      </w:r>
      <w:bookmarkStart w:id="13" w:name="_Toc108866334"/>
      <w:r>
        <w:rPr>
          <w:rFonts w:hint="eastAsia" w:ascii="仿宋_GB2312" w:hAnsi="仿宋" w:eastAsia="仿宋_GB2312"/>
          <w:sz w:val="32"/>
          <w:szCs w:val="32"/>
        </w:rPr>
        <w:t>具有农业行业</w:t>
      </w:r>
      <w:r>
        <w:rPr>
          <w:rFonts w:hint="eastAsia" w:ascii="仿宋_GB2312" w:hAnsi="仿宋" w:eastAsia="仿宋_GB2312"/>
          <w:sz w:val="32"/>
          <w:szCs w:val="32"/>
          <w:lang w:eastAsia="zh-CN"/>
        </w:rPr>
        <w:t>推广</w:t>
      </w:r>
      <w:r>
        <w:rPr>
          <w:rFonts w:hint="eastAsia" w:ascii="仿宋_GB2312" w:hAnsi="仿宋" w:eastAsia="仿宋_GB2312"/>
          <w:sz w:val="32"/>
          <w:szCs w:val="32"/>
        </w:rPr>
        <w:t>、可行性研究、农业行业专项调研工作经验。</w:t>
      </w:r>
      <w:bookmarkEnd w:id="13"/>
      <w:r>
        <w:rPr>
          <w:rFonts w:hint="eastAsia" w:ascii="仿宋_GB2312" w:hAnsi="仿宋" w:eastAsia="仿宋_GB2312"/>
          <w:sz w:val="32"/>
          <w:szCs w:val="32"/>
        </w:rPr>
        <w:t>服务单位若需更换</w:t>
      </w:r>
      <w:r>
        <w:rPr>
          <w:rFonts w:hint="eastAsia" w:ascii="仿宋_GB2312" w:hAnsi="仿宋" w:eastAsia="仿宋_GB2312"/>
          <w:sz w:val="32"/>
          <w:szCs w:val="32"/>
          <w:lang w:eastAsia="zh-CN"/>
        </w:rPr>
        <w:t>推广</w:t>
      </w:r>
      <w:r>
        <w:rPr>
          <w:rFonts w:hint="eastAsia" w:ascii="仿宋_GB2312" w:hAnsi="仿宋" w:eastAsia="仿宋_GB2312"/>
          <w:sz w:val="32"/>
          <w:szCs w:val="32"/>
        </w:rPr>
        <w:t>团队人员的，必须提前10个工作日书面报业主单位批准后方可更换。原则上不允许中途更换项目负责人。</w:t>
      </w:r>
    </w:p>
    <w:p>
      <w:pPr>
        <w:ind w:firstLine="640" w:firstLineChars="200"/>
        <w:rPr>
          <w:rFonts w:ascii="仿宋_GB2312" w:hAnsi="仿宋" w:eastAsia="仿宋_GB2312"/>
          <w:sz w:val="32"/>
          <w:szCs w:val="32"/>
        </w:rPr>
      </w:pPr>
      <w:r>
        <w:rPr>
          <w:rFonts w:hint="eastAsia" w:ascii="仿宋_GB2312" w:hAnsi="仿宋" w:eastAsia="仿宋_GB2312"/>
          <w:sz w:val="32"/>
          <w:szCs w:val="32"/>
        </w:rPr>
        <w:t>（3）调整原则</w:t>
      </w:r>
    </w:p>
    <w:p>
      <w:pPr>
        <w:ind w:firstLine="640" w:firstLineChars="200"/>
        <w:rPr>
          <w:rFonts w:ascii="仿宋_GB2312" w:hAnsi="仿宋" w:eastAsia="仿宋_GB2312"/>
          <w:sz w:val="32"/>
          <w:szCs w:val="32"/>
        </w:rPr>
      </w:pPr>
      <w:r>
        <w:rPr>
          <w:rFonts w:hint="eastAsia" w:ascii="仿宋_GB2312" w:hAnsi="仿宋" w:eastAsia="仿宋_GB2312"/>
          <w:sz w:val="32"/>
          <w:szCs w:val="32"/>
        </w:rPr>
        <w:t>在服务期内，投标人承诺的团队主要人员未经用户同意不得调整；投标人如中途更换相关人员，应征得用户同意。</w:t>
      </w:r>
    </w:p>
    <w:p>
      <w:pPr>
        <w:ind w:firstLine="630" w:firstLineChars="196"/>
        <w:rPr>
          <w:rFonts w:ascii="仿宋_GB2312" w:hAnsi="仿宋" w:eastAsia="仿宋_GB2312"/>
          <w:b/>
          <w:sz w:val="32"/>
          <w:szCs w:val="32"/>
          <w:highlight w:val="white"/>
        </w:rPr>
      </w:pPr>
      <w:bookmarkStart w:id="14" w:name="_Toc457982245"/>
      <w:bookmarkStart w:id="15" w:name="_Toc457815848"/>
      <w:r>
        <w:rPr>
          <w:rFonts w:hint="eastAsia" w:ascii="仿宋_GB2312" w:hAnsi="仿宋" w:eastAsia="仿宋_GB2312"/>
          <w:b/>
          <w:sz w:val="32"/>
          <w:szCs w:val="32"/>
        </w:rPr>
        <w:t>2.</w:t>
      </w:r>
      <w:r>
        <w:rPr>
          <w:rFonts w:hint="eastAsia" w:ascii="仿宋_GB2312" w:hAnsi="仿宋" w:eastAsia="仿宋_GB2312"/>
          <w:b/>
          <w:sz w:val="32"/>
          <w:szCs w:val="32"/>
          <w:highlight w:val="white"/>
        </w:rPr>
        <w:t>实施与计划</w:t>
      </w:r>
      <w:bookmarkEnd w:id="10"/>
      <w:bookmarkEnd w:id="11"/>
      <w:bookmarkEnd w:id="12"/>
      <w:bookmarkEnd w:id="14"/>
      <w:bookmarkEnd w:id="15"/>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投标人应根据招标文件服务需求及服务部分的要求，详细叙述拟提供服务方案情况。投标人提出的本项目服务方案应包括：</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（1）方案优化：投标人需要通过对本项目深刻理解和充分的需求分析，提供具体的方案。</w:t>
      </w:r>
    </w:p>
    <w:p>
      <w:pPr>
        <w:ind w:firstLine="627" w:firstLineChars="196"/>
        <w:rPr>
          <w:rFonts w:ascii="仿宋_GB2312" w:hAnsi="仿宋" w:eastAsia="仿宋_GB2312"/>
          <w:b/>
          <w:sz w:val="32"/>
          <w:szCs w:val="32"/>
          <w:highlight w:val="white"/>
        </w:rPr>
      </w:pPr>
      <w:r>
        <w:rPr>
          <w:rFonts w:hint="eastAsia" w:ascii="仿宋_GB2312" w:hAnsi="仿宋" w:eastAsia="仿宋_GB2312"/>
          <w:sz w:val="32"/>
          <w:szCs w:val="32"/>
        </w:rPr>
        <w:t>（2）在整个合同执行期间，项目的组织、实施、服务、质量等方面关乎项目效果的内容，接受项目发布单位的组织的监督、考核，考核结果不及格的，项目发布单位有权不组织验收、延期付款，相关责任由投标方承担，投标人应无条件接受。</w:t>
      </w:r>
    </w:p>
    <w:p>
      <w:pPr>
        <w:ind w:firstLine="630" w:firstLineChars="196"/>
        <w:rPr>
          <w:rFonts w:ascii="仿宋_GB2312" w:hAnsi="仿宋" w:eastAsia="仿宋_GB2312"/>
          <w:b/>
          <w:sz w:val="32"/>
          <w:szCs w:val="32"/>
          <w:highlight w:val="white"/>
        </w:rPr>
      </w:pPr>
      <w:bookmarkStart w:id="16" w:name="_Toc397874214"/>
      <w:bookmarkStart w:id="17" w:name="_Toc31828"/>
      <w:bookmarkStart w:id="18" w:name="_Toc180402471"/>
      <w:bookmarkStart w:id="19" w:name="_Toc457982247"/>
      <w:bookmarkStart w:id="20" w:name="_Toc180402932"/>
      <w:bookmarkStart w:id="21" w:name="_Toc457815850"/>
      <w:r>
        <w:rPr>
          <w:rFonts w:hint="eastAsia" w:ascii="仿宋_GB2312" w:hAnsi="仿宋" w:eastAsia="仿宋_GB2312"/>
          <w:b/>
          <w:sz w:val="32"/>
          <w:szCs w:val="32"/>
        </w:rPr>
        <w:t>3.</w:t>
      </w:r>
      <w:r>
        <w:rPr>
          <w:rFonts w:hint="eastAsia" w:ascii="仿宋_GB2312" w:hAnsi="仿宋" w:eastAsia="仿宋_GB2312"/>
          <w:b/>
          <w:sz w:val="32"/>
          <w:szCs w:val="32"/>
          <w:highlight w:val="white"/>
        </w:rPr>
        <w:t>项目文档要求</w:t>
      </w:r>
      <w:bookmarkEnd w:id="16"/>
      <w:bookmarkEnd w:id="17"/>
      <w:bookmarkEnd w:id="18"/>
      <w:bookmarkEnd w:id="19"/>
      <w:bookmarkEnd w:id="20"/>
      <w:bookmarkEnd w:id="21"/>
    </w:p>
    <w:p>
      <w:pPr>
        <w:ind w:firstLine="640" w:firstLineChars="200"/>
        <w:rPr>
          <w:rFonts w:ascii="仿宋_GB2312" w:hAnsi="仿宋" w:eastAsia="仿宋_GB2312"/>
          <w:sz w:val="32"/>
          <w:szCs w:val="32"/>
        </w:rPr>
      </w:pPr>
      <w:r>
        <w:rPr>
          <w:rFonts w:hint="eastAsia" w:ascii="仿宋_GB2312" w:hAnsi="仿宋" w:eastAsia="仿宋_GB2312"/>
          <w:sz w:val="32"/>
          <w:szCs w:val="32"/>
        </w:rPr>
        <w:t>投标人应根据项目进展和合同要求，按时提供相关文档及成果资料。文档必须满足项目方的要求。</w:t>
      </w:r>
    </w:p>
    <w:p>
      <w:pPr>
        <w:ind w:firstLine="630" w:firstLineChars="196"/>
        <w:rPr>
          <w:rFonts w:ascii="仿宋_GB2312" w:hAnsi="仿宋" w:eastAsia="仿宋_GB2312"/>
          <w:b/>
          <w:sz w:val="32"/>
          <w:szCs w:val="32"/>
          <w:highlight w:val="white"/>
        </w:rPr>
      </w:pPr>
      <w:bookmarkStart w:id="22" w:name="_Toc457982248"/>
      <w:bookmarkStart w:id="23" w:name="_Toc457815851"/>
      <w:bookmarkStart w:id="24" w:name="_Toc397874216"/>
      <w:bookmarkStart w:id="25" w:name="_Toc325546968"/>
      <w:bookmarkStart w:id="26" w:name="_Toc326227480"/>
      <w:bookmarkStart w:id="27" w:name="_Toc318855562"/>
      <w:bookmarkStart w:id="28" w:name="_Toc10526"/>
      <w:bookmarkStart w:id="29" w:name="_Toc325631995"/>
      <w:r>
        <w:rPr>
          <w:rFonts w:hint="eastAsia" w:ascii="仿宋_GB2312" w:hAnsi="仿宋" w:eastAsia="仿宋_GB2312"/>
          <w:b/>
          <w:sz w:val="32"/>
          <w:szCs w:val="32"/>
        </w:rPr>
        <w:t>4.</w:t>
      </w:r>
      <w:r>
        <w:rPr>
          <w:rFonts w:hint="eastAsia" w:ascii="仿宋_GB2312" w:hAnsi="仿宋" w:eastAsia="仿宋_GB2312"/>
          <w:b/>
          <w:sz w:val="32"/>
          <w:szCs w:val="32"/>
          <w:highlight w:val="white"/>
        </w:rPr>
        <w:t>知识产权要求</w:t>
      </w:r>
      <w:bookmarkEnd w:id="22"/>
      <w:bookmarkEnd w:id="23"/>
    </w:p>
    <w:p>
      <w:pPr>
        <w:ind w:firstLine="627" w:firstLineChars="196"/>
        <w:rPr>
          <w:rFonts w:ascii="仿宋" w:hAnsi="仿宋" w:eastAsia="仿宋"/>
          <w:b/>
          <w:sz w:val="32"/>
          <w:szCs w:val="32"/>
          <w:highlight w:val="white"/>
        </w:rPr>
      </w:pPr>
      <w:r>
        <w:rPr>
          <w:rFonts w:hint="eastAsia" w:ascii="仿宋_GB2312" w:hAnsi="仿宋" w:eastAsia="仿宋_GB2312"/>
          <w:sz w:val="32"/>
          <w:szCs w:val="32"/>
        </w:rPr>
        <w:t>投标人应保证在本项目使用的任何服务（包括部分使用）时，不会产生因第三方提出侵犯其专利权、商标权、著作权或其它知识产权而引起的法律和经济纠纷，如因专利权、商标权或其它知识产权而引起法律和经济纠纷，由投标人承担所有相关责任的同时不得耽误本项目实施进度。</w:t>
      </w:r>
      <w:bookmarkEnd w:id="24"/>
      <w:bookmarkEnd w:id="25"/>
      <w:bookmarkEnd w:id="26"/>
      <w:bookmarkEnd w:id="27"/>
      <w:bookmarkEnd w:id="28"/>
      <w:bookmarkEnd w:id="29"/>
    </w:p>
    <w:p>
      <w:pPr>
        <w:ind w:firstLine="630" w:firstLineChars="196"/>
        <w:rPr>
          <w:rFonts w:ascii="楷体_GB2312" w:hAnsi="仿宋" w:eastAsia="楷体_GB2312"/>
          <w:b/>
          <w:sz w:val="32"/>
          <w:szCs w:val="32"/>
          <w:highlight w:val="white"/>
        </w:rPr>
      </w:pPr>
      <w:r>
        <w:rPr>
          <w:rFonts w:hint="eastAsia" w:ascii="楷体_GB2312" w:hAnsi="仿宋" w:eastAsia="楷体_GB2312"/>
          <w:b/>
          <w:sz w:val="32"/>
          <w:szCs w:val="32"/>
          <w:highlight w:val="white"/>
        </w:rPr>
        <w:t>三、评标方案</w:t>
      </w:r>
    </w:p>
    <w:p>
      <w:pPr>
        <w:ind w:firstLine="643" w:firstLineChars="200"/>
        <w:rPr>
          <w:rFonts w:ascii="仿宋_GB2312" w:hAnsi="仿宋" w:eastAsia="仿宋_GB2312"/>
          <w:sz w:val="32"/>
          <w:szCs w:val="32"/>
        </w:rPr>
      </w:pPr>
      <w:r>
        <w:rPr>
          <w:rFonts w:hint="eastAsia" w:ascii="仿宋_GB2312" w:hAnsi="仿宋" w:eastAsia="仿宋_GB2312"/>
          <w:b/>
          <w:sz w:val="32"/>
          <w:szCs w:val="32"/>
        </w:rPr>
        <w:t>（一）</w:t>
      </w:r>
      <w:r>
        <w:rPr>
          <w:rFonts w:hint="eastAsia" w:ascii="仿宋_GB2312" w:hAnsi="仿宋" w:eastAsia="仿宋_GB2312"/>
          <w:sz w:val="32"/>
          <w:szCs w:val="32"/>
        </w:rPr>
        <w:t>本项目采用综合评分法</w:t>
      </w:r>
    </w:p>
    <w:p>
      <w:pPr>
        <w:ind w:firstLine="643" w:firstLineChars="200"/>
        <w:rPr>
          <w:rFonts w:ascii="仿宋_GB2312" w:hAnsi="仿宋" w:eastAsia="仿宋_GB2312"/>
          <w:sz w:val="32"/>
          <w:szCs w:val="32"/>
        </w:rPr>
      </w:pPr>
      <w:r>
        <w:rPr>
          <w:rFonts w:hint="eastAsia" w:ascii="仿宋_GB2312" w:hAnsi="仿宋" w:eastAsia="仿宋_GB2312"/>
          <w:b/>
          <w:sz w:val="32"/>
          <w:szCs w:val="32"/>
        </w:rPr>
        <w:t>（二）中标依据：</w:t>
      </w:r>
      <w:r>
        <w:rPr>
          <w:rFonts w:hint="eastAsia" w:ascii="仿宋_GB2312" w:hAnsi="仿宋" w:eastAsia="仿宋_GB2312"/>
          <w:sz w:val="32"/>
          <w:szCs w:val="32"/>
        </w:rPr>
        <w:t>在不高于最高限价的前提下，综合评估分最高的为中标候选人。</w:t>
      </w:r>
    </w:p>
    <w:p>
      <w:pPr>
        <w:ind w:firstLine="643" w:firstLineChars="200"/>
        <w:rPr>
          <w:rFonts w:ascii="仿宋_GB2312" w:hAnsi="仿宋" w:eastAsia="仿宋_GB2312"/>
          <w:b/>
          <w:sz w:val="32"/>
          <w:szCs w:val="32"/>
        </w:rPr>
      </w:pPr>
      <w:r>
        <w:rPr>
          <w:rFonts w:hint="eastAsia" w:ascii="仿宋_GB2312" w:hAnsi="仿宋" w:eastAsia="仿宋_GB2312"/>
          <w:b/>
          <w:sz w:val="32"/>
          <w:szCs w:val="32"/>
        </w:rPr>
        <w:t>（三）技术部分响应性评定</w:t>
      </w:r>
    </w:p>
    <w:p>
      <w:pPr>
        <w:ind w:firstLine="640" w:firstLineChars="200"/>
        <w:rPr>
          <w:rFonts w:ascii="仿宋_GB2312" w:hAnsi="仿宋" w:eastAsia="仿宋_GB2312"/>
          <w:sz w:val="32"/>
          <w:szCs w:val="32"/>
        </w:rPr>
      </w:pPr>
      <w:r>
        <w:rPr>
          <w:rFonts w:hint="eastAsia" w:ascii="仿宋_GB2312" w:hAnsi="仿宋" w:eastAsia="仿宋_GB2312"/>
          <w:sz w:val="32"/>
          <w:szCs w:val="32"/>
        </w:rPr>
        <w:t>1．由评标委员会对所有投标文件的技术部分的响应进行审核和分析；</w:t>
      </w:r>
    </w:p>
    <w:p>
      <w:pPr>
        <w:ind w:firstLine="640" w:firstLineChars="200"/>
        <w:rPr>
          <w:rFonts w:ascii="仿宋_GB2312" w:hAnsi="仿宋" w:eastAsia="仿宋_GB2312"/>
          <w:sz w:val="32"/>
          <w:szCs w:val="32"/>
        </w:rPr>
      </w:pPr>
      <w:r>
        <w:rPr>
          <w:rFonts w:hint="eastAsia" w:ascii="仿宋_GB2312" w:hAnsi="仿宋" w:eastAsia="仿宋_GB2312"/>
          <w:sz w:val="32"/>
          <w:szCs w:val="32"/>
        </w:rPr>
        <w:t>2．评委独立进行评分，填写“技术部分响应评分表”；</w:t>
      </w:r>
    </w:p>
    <w:p>
      <w:pPr>
        <w:ind w:firstLine="640" w:firstLineChars="200"/>
        <w:rPr>
          <w:rFonts w:ascii="仿宋_GB2312" w:hAnsi="仿宋" w:eastAsia="仿宋_GB2312"/>
          <w:sz w:val="32"/>
          <w:szCs w:val="32"/>
        </w:rPr>
      </w:pPr>
      <w:r>
        <w:rPr>
          <w:rFonts w:hint="eastAsia" w:ascii="仿宋_GB2312" w:hAnsi="仿宋" w:eastAsia="仿宋_GB2312"/>
          <w:sz w:val="32"/>
          <w:szCs w:val="32"/>
        </w:rPr>
        <w:t>3．评分标准：按照单项分值，按评估等级计算得分（特别说明除外）；</w:t>
      </w:r>
    </w:p>
    <w:p>
      <w:pPr>
        <w:ind w:firstLine="640" w:firstLineChars="200"/>
        <w:rPr>
          <w:rFonts w:ascii="仿宋_GB2312" w:hAnsi="仿宋" w:eastAsia="仿宋_GB2312"/>
          <w:sz w:val="32"/>
          <w:szCs w:val="32"/>
        </w:rPr>
      </w:pPr>
      <w:r>
        <w:rPr>
          <w:rFonts w:hint="eastAsia" w:ascii="仿宋_GB2312" w:hAnsi="仿宋" w:eastAsia="仿宋_GB2312"/>
          <w:sz w:val="32"/>
          <w:szCs w:val="32"/>
        </w:rPr>
        <w:t>4．将每一个评委的评分汇总后，进行算术平均（精确到小数点后两位），得出该投标人的技术得分。</w:t>
      </w:r>
    </w:p>
    <w:p>
      <w:pPr>
        <w:ind w:firstLine="643" w:firstLineChars="200"/>
        <w:rPr>
          <w:rFonts w:ascii="仿宋_GB2312" w:hAnsi="仿宋" w:eastAsia="仿宋_GB2312"/>
          <w:b/>
          <w:sz w:val="32"/>
          <w:szCs w:val="32"/>
        </w:rPr>
      </w:pPr>
      <w:r>
        <w:rPr>
          <w:rFonts w:hint="eastAsia" w:ascii="仿宋_GB2312" w:hAnsi="仿宋" w:eastAsia="仿宋_GB2312"/>
          <w:b/>
          <w:sz w:val="32"/>
          <w:szCs w:val="32"/>
        </w:rPr>
        <w:t>（四）商务部分响应性评估</w:t>
      </w:r>
    </w:p>
    <w:p>
      <w:pPr>
        <w:ind w:firstLine="640" w:firstLineChars="200"/>
        <w:rPr>
          <w:rFonts w:ascii="仿宋_GB2312" w:hAnsi="仿宋" w:eastAsia="仿宋_GB2312"/>
          <w:sz w:val="32"/>
          <w:szCs w:val="32"/>
        </w:rPr>
      </w:pPr>
      <w:r>
        <w:rPr>
          <w:rFonts w:hint="eastAsia" w:ascii="仿宋_GB2312" w:hAnsi="仿宋" w:eastAsia="仿宋_GB2312"/>
          <w:sz w:val="32"/>
          <w:szCs w:val="32"/>
        </w:rPr>
        <w:t>1．由评标委员会对所有投标文件的商务部分的响应进行审核和分析；</w:t>
      </w:r>
    </w:p>
    <w:p>
      <w:pPr>
        <w:ind w:firstLine="640" w:firstLineChars="200"/>
        <w:rPr>
          <w:rFonts w:ascii="仿宋_GB2312" w:hAnsi="仿宋" w:eastAsia="仿宋_GB2312"/>
          <w:sz w:val="32"/>
          <w:szCs w:val="32"/>
        </w:rPr>
      </w:pPr>
      <w:r>
        <w:rPr>
          <w:rFonts w:hint="eastAsia" w:ascii="仿宋_GB2312" w:hAnsi="仿宋" w:eastAsia="仿宋_GB2312"/>
          <w:sz w:val="32"/>
          <w:szCs w:val="32"/>
        </w:rPr>
        <w:t>2．评委独立进行评分，填写“商务部分响应评分表”；</w:t>
      </w:r>
    </w:p>
    <w:p>
      <w:pPr>
        <w:ind w:firstLine="640" w:firstLineChars="200"/>
        <w:rPr>
          <w:rFonts w:ascii="仿宋_GB2312" w:hAnsi="仿宋" w:eastAsia="仿宋_GB2312"/>
          <w:sz w:val="32"/>
          <w:szCs w:val="32"/>
        </w:rPr>
      </w:pPr>
      <w:r>
        <w:rPr>
          <w:rFonts w:hint="eastAsia" w:ascii="仿宋_GB2312" w:hAnsi="仿宋" w:eastAsia="仿宋_GB2312"/>
          <w:sz w:val="32"/>
          <w:szCs w:val="32"/>
        </w:rPr>
        <w:t>3．评分标准：按照单项分值，按评估等级计算得分（特别说明除外）；</w:t>
      </w:r>
    </w:p>
    <w:p>
      <w:pPr>
        <w:ind w:firstLine="640" w:firstLineChars="200"/>
        <w:rPr>
          <w:rFonts w:ascii="仿宋_GB2312" w:hAnsi="仿宋" w:eastAsia="仿宋_GB2312"/>
          <w:sz w:val="32"/>
          <w:szCs w:val="32"/>
        </w:rPr>
      </w:pPr>
      <w:r>
        <w:rPr>
          <w:rFonts w:hint="eastAsia" w:ascii="仿宋_GB2312" w:hAnsi="仿宋" w:eastAsia="仿宋_GB2312"/>
          <w:sz w:val="32"/>
          <w:szCs w:val="32"/>
        </w:rPr>
        <w:t>4．将每一个评委的评分汇总后，进行算术平均（精确到小数点后两位），得出该投标人的商务得分。</w:t>
      </w:r>
    </w:p>
    <w:p>
      <w:pPr>
        <w:ind w:firstLine="643" w:firstLineChars="200"/>
        <w:rPr>
          <w:rFonts w:ascii="仿宋_GB2312" w:hAnsi="仿宋" w:eastAsia="仿宋_GB2312"/>
          <w:b/>
          <w:sz w:val="32"/>
          <w:szCs w:val="32"/>
        </w:rPr>
      </w:pPr>
      <w:r>
        <w:rPr>
          <w:rFonts w:hint="eastAsia" w:ascii="仿宋_GB2312" w:hAnsi="仿宋" w:eastAsia="仿宋_GB2312"/>
          <w:b/>
          <w:sz w:val="32"/>
          <w:szCs w:val="32"/>
        </w:rPr>
        <w:t>（五）价格响应性评估</w:t>
      </w:r>
    </w:p>
    <w:p>
      <w:pPr>
        <w:ind w:firstLine="640" w:firstLineChars="200"/>
        <w:rPr>
          <w:rFonts w:ascii="仿宋_GB2312" w:hAnsi="仿宋" w:eastAsia="仿宋_GB2312"/>
          <w:sz w:val="32"/>
          <w:szCs w:val="32"/>
        </w:rPr>
      </w:pPr>
      <w:r>
        <w:rPr>
          <w:rFonts w:hint="eastAsia" w:ascii="仿宋_GB2312" w:hAnsi="仿宋" w:eastAsia="仿宋_GB2312"/>
          <w:sz w:val="32"/>
          <w:szCs w:val="32"/>
        </w:rPr>
        <w:t>1．由评标委员会对所有投标文件的价格部分的响应进行审核和分析。</w:t>
      </w:r>
    </w:p>
    <w:p>
      <w:pPr>
        <w:ind w:firstLine="640" w:firstLineChars="200"/>
        <w:rPr>
          <w:rFonts w:ascii="仿宋_GB2312" w:hAnsi="仿宋" w:eastAsia="仿宋_GB2312"/>
          <w:sz w:val="32"/>
          <w:szCs w:val="32"/>
        </w:rPr>
      </w:pPr>
      <w:r>
        <w:rPr>
          <w:rFonts w:hint="eastAsia" w:ascii="仿宋_GB2312" w:hAnsi="仿宋" w:eastAsia="仿宋_GB2312"/>
          <w:sz w:val="32"/>
          <w:szCs w:val="32"/>
        </w:rPr>
        <w:t>2．基准价格分：以有效投标人报价中价格最低的投标报价为基准价，定其基准价格分为20分。</w:t>
      </w:r>
    </w:p>
    <w:p>
      <w:pPr>
        <w:ind w:firstLine="640" w:firstLineChars="200"/>
        <w:rPr>
          <w:rFonts w:ascii="仿宋_GB2312" w:hAnsi="仿宋" w:eastAsia="仿宋_GB2312"/>
          <w:sz w:val="32"/>
          <w:szCs w:val="32"/>
        </w:rPr>
      </w:pPr>
      <w:r>
        <w:rPr>
          <w:rFonts w:hint="eastAsia" w:ascii="仿宋_GB2312" w:hAnsi="仿宋" w:eastAsia="仿宋_GB2312"/>
          <w:sz w:val="32"/>
          <w:szCs w:val="32"/>
        </w:rPr>
        <w:t>3．投标人的价格得分=（评标基准价/投标人报价）×20（精确到小数点后两位）分。由此算出每个投标人的“价格得分”。如果申请人的投标价格低于限价的60%，没有合理的解释说明材料或者材料不合理，价格分为0分。</w:t>
      </w:r>
    </w:p>
    <w:p>
      <w:pPr>
        <w:ind w:firstLine="640" w:firstLineChars="200"/>
        <w:rPr>
          <w:rFonts w:ascii="仿宋_GB2312" w:hAnsi="仿宋" w:eastAsia="仿宋_GB2312"/>
          <w:sz w:val="32"/>
          <w:szCs w:val="32"/>
        </w:rPr>
      </w:pPr>
      <w:r>
        <w:rPr>
          <w:rFonts w:hint="eastAsia" w:ascii="仿宋_GB2312" w:hAnsi="仿宋" w:eastAsia="仿宋_GB2312"/>
          <w:sz w:val="32"/>
          <w:szCs w:val="32"/>
        </w:rPr>
        <w:t>4．评委检查每个投标人的价格评分计算情况，确认“价格得分”。</w:t>
      </w:r>
      <w:bookmarkStart w:id="30" w:name="NotRequestDemoOrRequestInstantReply"/>
      <w:bookmarkEnd w:id="30"/>
      <w:bookmarkStart w:id="31" w:name="IsHasSample2"/>
      <w:bookmarkEnd w:id="31"/>
    </w:p>
    <w:p>
      <w:pPr>
        <w:spacing w:line="360" w:lineRule="auto"/>
        <w:jc w:val="center"/>
        <w:rPr>
          <w:rFonts w:ascii="仿宋_GB2312" w:hAnsi="仿宋" w:eastAsia="仿宋_GB2312"/>
          <w:b/>
          <w:sz w:val="32"/>
          <w:szCs w:val="32"/>
          <w:lang w:val="zh-CN"/>
        </w:rPr>
      </w:pPr>
      <w:r>
        <w:rPr>
          <w:rFonts w:hint="eastAsia" w:ascii="仿宋_GB2312" w:hAnsi="仿宋" w:eastAsia="仿宋_GB2312"/>
          <w:b/>
          <w:sz w:val="32"/>
          <w:szCs w:val="32"/>
          <w:lang w:val="zh-CN"/>
        </w:rPr>
        <w:t>综合评估分的计算和排序</w:t>
      </w:r>
    </w:p>
    <w:p>
      <w:pPr>
        <w:spacing w:line="360" w:lineRule="auto"/>
        <w:ind w:left="709"/>
        <w:rPr>
          <w:rFonts w:ascii="仿宋_GB2312" w:hAnsi="仿宋" w:eastAsia="仿宋_GB2312"/>
          <w:sz w:val="32"/>
          <w:szCs w:val="32"/>
        </w:rPr>
      </w:pPr>
      <w:r>
        <w:rPr>
          <w:rFonts w:hint="eastAsia" w:ascii="仿宋_GB2312" w:hAnsi="仿宋" w:eastAsia="仿宋_GB2312"/>
          <w:sz w:val="32"/>
          <w:szCs w:val="32"/>
        </w:rPr>
        <w:t>综合评估分中各评估因素所占权重（见下表）</w:t>
      </w:r>
      <w:bookmarkStart w:id="32" w:name="SubDocScoreRule"/>
    </w:p>
    <w:tbl>
      <w:tblPr>
        <w:tblStyle w:val="5"/>
        <w:tblW w:w="827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8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8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_GB2312" w:hAnsi="仿宋" w:eastAsia="仿宋_GB2312"/>
                <w:b/>
                <w:bCs/>
                <w:sz w:val="32"/>
                <w:szCs w:val="32"/>
              </w:rPr>
            </w:pPr>
            <w:r>
              <w:rPr>
                <w:rFonts w:hint="eastAsia" w:ascii="仿宋_GB2312" w:hAnsi="仿宋" w:eastAsia="仿宋_GB2312"/>
                <w:b/>
                <w:bCs/>
                <w:sz w:val="32"/>
                <w:szCs w:val="32"/>
              </w:rPr>
              <w:t>评估因素</w:t>
            </w:r>
          </w:p>
        </w:tc>
        <w:tc>
          <w:tcPr>
            <w:tcW w:w="21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
                <w:bCs/>
                <w:sz w:val="32"/>
                <w:szCs w:val="32"/>
              </w:rPr>
            </w:pPr>
            <w:r>
              <w:rPr>
                <w:rFonts w:hint="eastAsia" w:ascii="仿宋_GB2312" w:hAnsi="仿宋" w:eastAsia="仿宋_GB2312"/>
                <w:b/>
                <w:bCs/>
                <w:sz w:val="32"/>
                <w:szCs w:val="32"/>
              </w:rPr>
              <w:t>技术</w:t>
            </w:r>
          </w:p>
        </w:tc>
        <w:tc>
          <w:tcPr>
            <w:tcW w:w="21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
                <w:bCs/>
                <w:sz w:val="32"/>
                <w:szCs w:val="32"/>
              </w:rPr>
            </w:pPr>
            <w:r>
              <w:rPr>
                <w:rFonts w:hint="eastAsia" w:ascii="仿宋_GB2312" w:hAnsi="仿宋" w:eastAsia="仿宋_GB2312"/>
                <w:b/>
                <w:bCs/>
                <w:sz w:val="32"/>
                <w:szCs w:val="32"/>
              </w:rPr>
              <w:t>商务</w:t>
            </w:r>
          </w:p>
        </w:tc>
        <w:tc>
          <w:tcPr>
            <w:tcW w:w="21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
                <w:bCs/>
                <w:sz w:val="32"/>
                <w:szCs w:val="32"/>
              </w:rPr>
            </w:pPr>
            <w:r>
              <w:rPr>
                <w:rFonts w:hint="eastAsia" w:ascii="仿宋_GB2312" w:hAnsi="仿宋" w:eastAsia="仿宋_GB2312"/>
                <w:b/>
                <w:bCs/>
                <w:sz w:val="32"/>
                <w:szCs w:val="32"/>
              </w:rPr>
              <w:t>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8" w:hRule="atLeast"/>
          <w:jc w:val="center"/>
        </w:trPr>
        <w:tc>
          <w:tcPr>
            <w:tcW w:w="1880" w:type="dxa"/>
            <w:tcBorders>
              <w:top w:val="single" w:color="auto" w:sz="4" w:space="0"/>
              <w:left w:val="single" w:color="auto" w:sz="4" w:space="0"/>
              <w:bottom w:val="single" w:color="auto" w:sz="4" w:space="0"/>
              <w:right w:val="single" w:color="auto" w:sz="4" w:space="0"/>
            </w:tcBorders>
          </w:tcPr>
          <w:p>
            <w:pPr>
              <w:spacing w:line="360" w:lineRule="auto"/>
              <w:jc w:val="center"/>
              <w:rPr>
                <w:rFonts w:ascii="仿宋_GB2312" w:hAnsi="仿宋" w:eastAsia="仿宋_GB2312"/>
                <w:bCs/>
                <w:sz w:val="32"/>
                <w:szCs w:val="32"/>
              </w:rPr>
            </w:pPr>
            <w:r>
              <w:rPr>
                <w:rFonts w:hint="eastAsia" w:ascii="仿宋_GB2312" w:hAnsi="仿宋" w:eastAsia="仿宋_GB2312"/>
                <w:bCs/>
                <w:sz w:val="32"/>
                <w:szCs w:val="32"/>
              </w:rPr>
              <w:t>评估权重</w:t>
            </w:r>
          </w:p>
        </w:tc>
        <w:tc>
          <w:tcPr>
            <w:tcW w:w="2130"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Cs/>
                <w:sz w:val="32"/>
                <w:szCs w:val="32"/>
              </w:rPr>
            </w:pPr>
            <w:r>
              <w:rPr>
                <w:rFonts w:ascii="仿宋_GB2312" w:hAnsi="仿宋" w:eastAsia="仿宋_GB2312"/>
                <w:bCs/>
                <w:sz w:val="32"/>
                <w:szCs w:val="32"/>
              </w:rPr>
              <w:t>55</w:t>
            </w:r>
          </w:p>
        </w:tc>
        <w:tc>
          <w:tcPr>
            <w:tcW w:w="21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Cs/>
                <w:sz w:val="32"/>
                <w:szCs w:val="32"/>
              </w:rPr>
            </w:pPr>
            <w:r>
              <w:rPr>
                <w:rFonts w:ascii="仿宋_GB2312" w:hAnsi="仿宋" w:eastAsia="仿宋_GB2312"/>
                <w:bCs/>
                <w:sz w:val="32"/>
                <w:szCs w:val="32"/>
              </w:rPr>
              <w:t>25</w:t>
            </w:r>
          </w:p>
        </w:tc>
        <w:tc>
          <w:tcPr>
            <w:tcW w:w="2131" w:type="dxa"/>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仿宋_GB2312" w:hAnsi="仿宋" w:eastAsia="仿宋_GB2312"/>
                <w:bCs/>
                <w:sz w:val="32"/>
                <w:szCs w:val="32"/>
              </w:rPr>
            </w:pPr>
            <w:r>
              <w:rPr>
                <w:rFonts w:hint="eastAsia" w:ascii="仿宋_GB2312" w:hAnsi="仿宋" w:eastAsia="仿宋_GB2312"/>
                <w:bCs/>
                <w:sz w:val="32"/>
                <w:szCs w:val="32"/>
              </w:rPr>
              <w:t>20</w:t>
            </w:r>
          </w:p>
        </w:tc>
      </w:tr>
      <w:bookmarkEnd w:id="32"/>
    </w:tbl>
    <w:p>
      <w:pPr>
        <w:ind w:firstLine="640" w:firstLineChars="200"/>
        <w:rPr>
          <w:rFonts w:ascii="仿宋_GB2312" w:hAnsi="仿宋" w:eastAsia="仿宋_GB2312"/>
          <w:sz w:val="32"/>
          <w:szCs w:val="32"/>
        </w:rPr>
      </w:pPr>
      <w:r>
        <w:rPr>
          <w:rFonts w:hint="eastAsia" w:ascii="仿宋_GB2312" w:hAnsi="仿宋" w:eastAsia="仿宋_GB2312"/>
          <w:sz w:val="32"/>
          <w:szCs w:val="32"/>
        </w:rPr>
        <w:t>1．综合评估分</w:t>
      </w:r>
      <w:bookmarkStart w:id="33" w:name="CompositeScoreDesc"/>
      <w:r>
        <w:rPr>
          <w:rFonts w:hint="eastAsia" w:ascii="仿宋_GB2312" w:hAnsi="仿宋" w:eastAsia="仿宋_GB2312"/>
          <w:sz w:val="32"/>
          <w:szCs w:val="32"/>
        </w:rPr>
        <w:t>（精确到小数点后两位）=技术得分+商务得分+价格得分；</w:t>
      </w:r>
      <w:bookmarkEnd w:id="33"/>
    </w:p>
    <w:p>
      <w:pPr>
        <w:ind w:firstLine="640" w:firstLineChars="200"/>
        <w:rPr>
          <w:rFonts w:ascii="仿宋_GB2312" w:hAnsi="仿宋" w:eastAsia="仿宋_GB2312"/>
          <w:sz w:val="32"/>
          <w:szCs w:val="32"/>
        </w:rPr>
      </w:pPr>
      <w:r>
        <w:rPr>
          <w:rFonts w:hint="eastAsia" w:ascii="仿宋_GB2312" w:hAnsi="仿宋" w:eastAsia="仿宋_GB2312"/>
          <w:sz w:val="32"/>
          <w:szCs w:val="32"/>
        </w:rPr>
        <w:t>2．将综合评估分从高到低排序，得分相同的，按技术得分高低顺序排列；</w:t>
      </w:r>
    </w:p>
    <w:p>
      <w:pPr>
        <w:ind w:firstLine="640" w:firstLineChars="200"/>
      </w:pPr>
      <w:r>
        <w:rPr>
          <w:rFonts w:hint="eastAsia" w:ascii="仿宋_GB2312" w:hAnsi="仿宋" w:eastAsia="仿宋_GB2312"/>
          <w:sz w:val="32"/>
          <w:szCs w:val="32"/>
        </w:rPr>
        <w:t>3．评标委员会按排名顺序推荐前两名为中标候选人。若排名第一的中标候选人放弃中标或被取消中标资格，采购人可顺选排名第二的为中标候选人。</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1"/>
  <w:bordersDoNotSurroundFooter w:val="1"/>
  <w:revisionView w:markup="0"/>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QyMmFhZTg2Njg5NDdmNGVhYjFkMDdhZjBkNzIyOTkifQ=="/>
  </w:docVars>
  <w:rsids>
    <w:rsidRoot w:val="0107017F"/>
    <w:rsid w:val="0107017F"/>
    <w:rsid w:val="2F9275A2"/>
    <w:rsid w:val="55820257"/>
    <w:rsid w:val="746B7DCC"/>
    <w:rsid w:val="DADF9803"/>
    <w:rsid w:val="FE57C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character" w:styleId="4">
    <w:name w:val="Hyperlink"/>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54</TotalTime>
  <ScaleCrop>false</ScaleCrop>
  <LinksUpToDate>false</LinksUpToDate>
  <CharactersWithSpaces>0</CharactersWithSpaces>
  <Application>WPS Office_10.8.2.6784_F1E327BC-269C-435d-A152-05C5408002CA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2024-04-04T02:06:00Z</dcterms:created>
  <dc:creator>莹</dc:creator>
  <cp:lastModifiedBy>谢曼莹1673944446715</cp:lastModifiedBy>
  <dcterms:modified xsi:type="dcterms:W3CDTF">2024-05-16T01:22:36Z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2052-10.8.2.6784</vt:lpwstr>
  </property>
  <property fmtid="{D5CDD505-2E9C-101B-9397-08002B2CF9AE}" pid="3" name="ICV">
    <vt:lpwstr>C2B43728C36A453CA7DE08D565A936C2_11</vt:lpwstr>
  </property>
</Properties>
</file>