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240" w:lineRule="auto"/>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附件4</w:t>
      </w:r>
    </w:p>
    <w:p>
      <w:pPr>
        <w:keepNext w:val="0"/>
        <w:keepLines w:val="0"/>
        <w:pageBreakBefore w:val="0"/>
        <w:tabs>
          <w:tab w:val="left" w:pos="9214"/>
        </w:tabs>
        <w:kinsoku/>
        <w:wordWrap/>
        <w:overflowPunct/>
        <w:topLinePunct w:val="0"/>
        <w:bidi w:val="0"/>
        <w:spacing w:line="240" w:lineRule="auto"/>
        <w:jc w:val="center"/>
        <w:rPr>
          <w:rFonts w:hint="eastAsia" w:ascii="方正小标宋简体" w:hAnsi="宋体" w:eastAsia="方正小标宋简体" w:cs="宋体"/>
          <w:color w:val="auto"/>
          <w:spacing w:val="-20"/>
          <w:kern w:val="2"/>
          <w:sz w:val="44"/>
          <w:szCs w:val="44"/>
          <w:highlight w:val="none"/>
          <w:lang w:val="en-US" w:eastAsia="zh-CN"/>
        </w:rPr>
      </w:pPr>
      <w:r>
        <w:rPr>
          <w:rFonts w:hint="eastAsia" w:ascii="方正小标宋简体" w:hAnsi="宋体" w:eastAsia="方正小标宋简体" w:cs="宋体"/>
          <w:color w:val="auto"/>
          <w:spacing w:val="-20"/>
          <w:kern w:val="2"/>
          <w:sz w:val="44"/>
          <w:szCs w:val="44"/>
          <w:highlight w:val="none"/>
          <w:lang w:val="en-US" w:eastAsia="zh-CN"/>
        </w:rPr>
        <w:t>省市贷款贴息项目申报要求差异一览表</w:t>
      </w:r>
    </w:p>
    <w:tbl>
      <w:tblPr>
        <w:tblStyle w:val="7"/>
        <w:tblW w:w="1007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76"/>
        <w:gridCol w:w="3796"/>
        <w:gridCol w:w="3412"/>
        <w:gridCol w:w="1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49"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lang w:eastAsia="zh-CN"/>
              </w:rPr>
            </w:pPr>
            <w:r>
              <w:rPr>
                <w:rFonts w:hint="eastAsia" w:ascii="黑体" w:hAnsi="黑体" w:eastAsia="黑体" w:cs="黑体"/>
                <w:i w:val="0"/>
                <w:color w:val="000000"/>
                <w:sz w:val="28"/>
                <w:szCs w:val="28"/>
                <w:u w:val="none"/>
                <w:lang w:eastAsia="zh-CN"/>
              </w:rPr>
              <w:t>项目</w:t>
            </w:r>
          </w:p>
        </w:tc>
        <w:tc>
          <w:tcPr>
            <w:tcW w:w="3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广东省现代设施农业建设贷款贴息</w:t>
            </w:r>
          </w:p>
        </w:tc>
        <w:tc>
          <w:tcPr>
            <w:tcW w:w="3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广州市农业产业化贷款贴息</w:t>
            </w:r>
          </w:p>
        </w:tc>
        <w:tc>
          <w:tcPr>
            <w:tcW w:w="1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98"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0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贴息范围</w:t>
            </w:r>
          </w:p>
        </w:tc>
        <w:tc>
          <w:tcPr>
            <w:tcW w:w="3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0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设施种植、设施畜牧、设施渔业、农产品产地冷藏保鲜物流和烘干设施等领域新建或改扩建项目的贷款。</w:t>
            </w:r>
          </w:p>
        </w:tc>
        <w:tc>
          <w:tcPr>
            <w:tcW w:w="3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0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农产品生产、农产品加工、农业科研和农业服务性用途范围的贷款</w:t>
            </w:r>
          </w:p>
        </w:tc>
        <w:tc>
          <w:tcPr>
            <w:tcW w:w="1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0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省较市的贴息范围更窄，仅限于设施农业贷款贴息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160"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0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贴息对象</w:t>
            </w:r>
          </w:p>
        </w:tc>
        <w:tc>
          <w:tcPr>
            <w:tcW w:w="3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0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单位申报主体：家庭农场、农民合作社、农业企业、农业社会化服务组织等农业经营主体，以及农村集体经济组织和参加现代设施农业建设的各类企业等。</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个人申报主体：农户以及个体工商户组织形式的家庭农场等。</w:t>
            </w:r>
          </w:p>
        </w:tc>
        <w:tc>
          <w:tcPr>
            <w:tcW w:w="3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00" w:lineRule="exact"/>
              <w:jc w:val="left"/>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五类主体</w:t>
            </w:r>
            <w:r>
              <w:rPr>
                <w:rFonts w:hint="eastAsia" w:ascii="宋体" w:hAnsi="宋体" w:eastAsia="宋体" w:cs="宋体"/>
                <w:i w:val="0"/>
                <w:color w:val="000000"/>
                <w:kern w:val="0"/>
                <w:sz w:val="28"/>
                <w:szCs w:val="28"/>
                <w:u w:val="none"/>
                <w:lang w:val="en-US" w:eastAsia="zh-CN" w:bidi="ar"/>
              </w:rPr>
              <w:t>：粤港澳大湾区“菜篮子”经营主体、种业企业、市级（含）以上农业龙头企业、市级（含）以上农民合作社示范社、市级（含）以上示范性畜禽</w:t>
            </w:r>
            <w:r>
              <w:rPr>
                <w:rFonts w:hint="eastAsia" w:ascii="宋体" w:hAnsi="宋体" w:cs="宋体"/>
                <w:i w:val="0"/>
                <w:color w:val="000000"/>
                <w:kern w:val="0"/>
                <w:sz w:val="28"/>
                <w:szCs w:val="28"/>
                <w:u w:val="none"/>
                <w:lang w:val="en-US" w:eastAsia="zh-CN" w:bidi="ar"/>
              </w:rPr>
              <w:t>水产</w:t>
            </w:r>
            <w:r>
              <w:rPr>
                <w:rFonts w:hint="eastAsia" w:ascii="宋体" w:hAnsi="宋体" w:eastAsia="宋体" w:cs="宋体"/>
                <w:i w:val="0"/>
                <w:color w:val="000000"/>
                <w:kern w:val="0"/>
                <w:sz w:val="28"/>
                <w:szCs w:val="28"/>
                <w:u w:val="none"/>
                <w:lang w:val="en-US" w:eastAsia="zh-CN" w:bidi="ar"/>
              </w:rPr>
              <w:t>养殖</w:t>
            </w:r>
            <w:r>
              <w:rPr>
                <w:rFonts w:hint="eastAsia" w:ascii="宋体" w:hAnsi="宋体" w:cs="宋体"/>
                <w:i w:val="0"/>
                <w:color w:val="000000"/>
                <w:kern w:val="0"/>
                <w:sz w:val="28"/>
                <w:szCs w:val="28"/>
                <w:u w:val="none"/>
                <w:lang w:val="en-US" w:eastAsia="zh-CN" w:bidi="ar"/>
              </w:rPr>
              <w:t>主体</w:t>
            </w:r>
            <w:r>
              <w:rPr>
                <w:rFonts w:hint="eastAsia" w:ascii="宋体" w:hAnsi="宋体" w:eastAsia="宋体" w:cs="宋体"/>
                <w:i w:val="0"/>
                <w:color w:val="000000"/>
                <w:kern w:val="0"/>
                <w:sz w:val="28"/>
                <w:szCs w:val="28"/>
                <w:u w:val="none"/>
                <w:lang w:val="en-US" w:eastAsia="zh-CN" w:bidi="ar"/>
              </w:rPr>
              <w:t>。</w:t>
            </w:r>
          </w:p>
        </w:tc>
        <w:tc>
          <w:tcPr>
            <w:tcW w:w="1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0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省较市的贴息对象范围更广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160"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0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贴息限额</w:t>
            </w:r>
          </w:p>
        </w:tc>
        <w:tc>
          <w:tcPr>
            <w:tcW w:w="3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0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1.不高于同期同档次市场报价利率（LPR）的70%且不得超过2%；</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2.不超过200万元。</w:t>
            </w:r>
          </w:p>
        </w:tc>
        <w:tc>
          <w:tcPr>
            <w:tcW w:w="3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0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1.不高于同期同档次的市场报价利率</w:t>
            </w:r>
            <w:bookmarkStart w:id="0" w:name="_GoBack"/>
            <w:bookmarkEnd w:id="0"/>
            <w:r>
              <w:rPr>
                <w:rFonts w:hint="eastAsia" w:ascii="宋体" w:hAnsi="宋体" w:eastAsia="宋体" w:cs="宋体"/>
                <w:i w:val="0"/>
                <w:color w:val="000000"/>
                <w:kern w:val="0"/>
                <w:sz w:val="28"/>
                <w:szCs w:val="28"/>
                <w:u w:val="none"/>
                <w:lang w:val="en-US" w:eastAsia="zh-CN" w:bidi="ar"/>
              </w:rPr>
              <w:t>（LPR），且不高于贷款合同实际执行利率；</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2.不超过200万元，其中，粤港澳大湾区“菜篮子”经营主体可申报财政贴息限额不超过1000万元。</w:t>
            </w:r>
          </w:p>
        </w:tc>
        <w:tc>
          <w:tcPr>
            <w:tcW w:w="1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0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五类主体贴息限额可叠加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02"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0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贷款规模要求</w:t>
            </w:r>
          </w:p>
        </w:tc>
        <w:tc>
          <w:tcPr>
            <w:tcW w:w="3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00" w:lineRule="exact"/>
              <w:jc w:val="center"/>
              <w:textAlignment w:val="center"/>
              <w:rPr>
                <w:rFonts w:hint="eastAsia" w:ascii="宋体" w:hAnsi="宋体" w:eastAsia="宋体" w:cs="宋体"/>
                <w:i w:val="0"/>
                <w:color w:val="000000"/>
                <w:sz w:val="28"/>
                <w:szCs w:val="28"/>
                <w:u w:val="none"/>
                <w:lang w:eastAsia="zh-CN"/>
              </w:rPr>
            </w:pPr>
            <w:r>
              <w:rPr>
                <w:rFonts w:hint="eastAsia" w:ascii="宋体" w:hAnsi="宋体" w:cs="宋体"/>
                <w:i w:val="0"/>
                <w:color w:val="000000"/>
                <w:sz w:val="28"/>
                <w:szCs w:val="28"/>
                <w:u w:val="none"/>
                <w:lang w:eastAsia="zh-CN"/>
              </w:rPr>
              <w:t>无贷款规模限制。</w:t>
            </w:r>
          </w:p>
        </w:tc>
        <w:tc>
          <w:tcPr>
            <w:tcW w:w="3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0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申报</w:t>
            </w:r>
            <w:r>
              <w:rPr>
                <w:rFonts w:hint="eastAsia" w:ascii="宋体" w:hAnsi="宋体" w:cs="宋体"/>
                <w:i w:val="0"/>
                <w:color w:val="000000"/>
                <w:kern w:val="0"/>
                <w:sz w:val="28"/>
                <w:szCs w:val="28"/>
                <w:u w:val="none"/>
                <w:lang w:val="en-US" w:eastAsia="zh-CN" w:bidi="ar"/>
              </w:rPr>
              <w:t>市级</w:t>
            </w:r>
            <w:r>
              <w:rPr>
                <w:rFonts w:hint="eastAsia" w:ascii="宋体" w:hAnsi="宋体" w:eastAsia="宋体" w:cs="宋体"/>
                <w:i w:val="0"/>
                <w:color w:val="000000"/>
                <w:kern w:val="0"/>
                <w:sz w:val="28"/>
                <w:szCs w:val="28"/>
                <w:u w:val="none"/>
                <w:lang w:val="en-US" w:eastAsia="zh-CN" w:bidi="ar"/>
              </w:rPr>
              <w:t>贴息的贷款单笔规模应在100万元以上。</w:t>
            </w:r>
            <w:r>
              <w:rPr>
                <w:rFonts w:hint="eastAsia" w:ascii="宋体" w:hAnsi="宋体" w:cs="宋体"/>
                <w:i w:val="0"/>
                <w:color w:val="000000"/>
                <w:kern w:val="0"/>
                <w:sz w:val="28"/>
                <w:szCs w:val="28"/>
                <w:u w:val="none"/>
                <w:lang w:val="en-US" w:eastAsia="zh-CN" w:bidi="ar"/>
              </w:rPr>
              <w:t>其中，申请省级贴息的部分</w:t>
            </w:r>
            <w:r>
              <w:rPr>
                <w:rFonts w:hint="eastAsia" w:ascii="宋体" w:hAnsi="宋体" w:cs="宋体"/>
                <w:i w:val="0"/>
                <w:color w:val="000000"/>
                <w:sz w:val="28"/>
                <w:szCs w:val="28"/>
                <w:u w:val="none"/>
                <w:lang w:eastAsia="zh-CN"/>
              </w:rPr>
              <w:t>无贷款规模限制。</w:t>
            </w:r>
          </w:p>
        </w:tc>
        <w:tc>
          <w:tcPr>
            <w:tcW w:w="1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rPr>
                <w:rFonts w:hint="eastAsia" w:ascii="宋体" w:hAnsi="宋体" w:eastAsia="宋体" w:cs="宋体"/>
                <w:i w:val="0"/>
                <w:color w:val="000000"/>
                <w:sz w:val="28"/>
                <w:szCs w:val="2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60"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0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申报材料</w:t>
            </w:r>
          </w:p>
        </w:tc>
        <w:tc>
          <w:tcPr>
            <w:tcW w:w="3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0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1.广东省现代设施农业贷款贴息申报表；</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2.申报主体法律承诺书；</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3.贷款凭证；</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4.贷款用途凭证；</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5.设施设备照片；</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6.绩效评价材料；</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7.人行征信报告；</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8.其他佐证材料。</w:t>
            </w:r>
          </w:p>
        </w:tc>
        <w:tc>
          <w:tcPr>
            <w:tcW w:w="3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0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1.广州市农业产业化贷款贴息申报表；</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2.项目申报承诺书；</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3.贷款凭证；</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4.设施设备照片（</w:t>
            </w:r>
            <w:r>
              <w:rPr>
                <w:rFonts w:hint="eastAsia" w:ascii="宋体" w:hAnsi="宋体" w:cs="宋体"/>
                <w:i w:val="0"/>
                <w:color w:val="000000"/>
                <w:kern w:val="0"/>
                <w:sz w:val="28"/>
                <w:szCs w:val="28"/>
                <w:u w:val="none"/>
                <w:lang w:val="en-US" w:eastAsia="zh-CN" w:bidi="ar"/>
              </w:rPr>
              <w:t>涉及同时</w:t>
            </w:r>
            <w:r>
              <w:rPr>
                <w:rFonts w:hint="eastAsia" w:ascii="宋体" w:hAnsi="宋体" w:eastAsia="宋体" w:cs="宋体"/>
                <w:i w:val="0"/>
                <w:color w:val="000000"/>
                <w:kern w:val="0"/>
                <w:sz w:val="28"/>
                <w:szCs w:val="28"/>
                <w:u w:val="none"/>
                <w:lang w:val="en-US" w:eastAsia="zh-CN" w:bidi="ar"/>
              </w:rPr>
              <w:t>申请省级现代设施农业贴息</w:t>
            </w:r>
            <w:r>
              <w:rPr>
                <w:rFonts w:hint="eastAsia" w:ascii="宋体" w:hAnsi="宋体" w:cs="宋体"/>
                <w:i w:val="0"/>
                <w:color w:val="000000"/>
                <w:kern w:val="0"/>
                <w:sz w:val="28"/>
                <w:szCs w:val="28"/>
                <w:u w:val="none"/>
                <w:lang w:val="en-US" w:eastAsia="zh-CN" w:bidi="ar"/>
              </w:rPr>
              <w:t>的</w:t>
            </w:r>
            <w:r>
              <w:rPr>
                <w:rFonts w:hint="eastAsia" w:ascii="宋体" w:hAnsi="宋体" w:eastAsia="宋体" w:cs="宋体"/>
                <w:i w:val="0"/>
                <w:color w:val="000000"/>
                <w:kern w:val="0"/>
                <w:sz w:val="28"/>
                <w:szCs w:val="28"/>
                <w:u w:val="none"/>
                <w:lang w:val="en-US" w:eastAsia="zh-CN" w:bidi="ar"/>
              </w:rPr>
              <w:t>）；</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5.绩效评价材料；</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6.人行征信报告；</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7.其他佐证材料。</w:t>
            </w:r>
          </w:p>
        </w:tc>
        <w:tc>
          <w:tcPr>
            <w:tcW w:w="1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00" w:lineRule="exact"/>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五类主体仅需报送市级贴息申报材料，其中注明申报省级贴息的贷款金额，由市农业农村局统筹安排。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24" w:hRule="atLeast"/>
          <w:jc w:val="center"/>
        </w:trPr>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申报程序</w:t>
            </w:r>
          </w:p>
        </w:tc>
        <w:tc>
          <w:tcPr>
            <w:tcW w:w="3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1"/>
              </w:numPr>
              <w:suppressLineNumbers w:val="0"/>
              <w:kinsoku/>
              <w:wordWrap w:val="0"/>
              <w:overflowPunct/>
              <w:topLinePunct w:val="0"/>
              <w:autoSpaceDE/>
              <w:autoSpaceDN/>
              <w:bidi w:val="0"/>
              <w:adjustRightInd/>
              <w:snapToGrid/>
              <w:spacing w:line="400" w:lineRule="exact"/>
              <w:jc w:val="left"/>
              <w:textAlignment w:val="center"/>
              <w:outlineLvl w:val="9"/>
              <w:rPr>
                <w:rFonts w:hint="eastAsia" w:ascii="宋体" w:hAnsi="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线上申报网址：</w:t>
            </w:r>
            <w:r>
              <w:rPr>
                <w:rFonts w:hint="eastAsia" w:ascii="Times New Roman" w:hAnsi="Times New Roman" w:eastAsia="仿宋_GB2312" w:cs="Times New Roman"/>
                <w:color w:val="auto"/>
                <w:sz w:val="28"/>
                <w:szCs w:val="28"/>
                <w:highlight w:val="none"/>
                <w:lang w:eastAsia="zh-CN"/>
              </w:rPr>
              <w:t>单位申报https://www.gdzwfw.gov.cn/portal/v2/guide/11440100MB2C9235X1344211704K00002，个人申报https://www.gdzwfw.gov.cn/portal/v2/guide/11440100MB2C9235X1344211704K00001</w:t>
            </w:r>
            <w:r>
              <w:rPr>
                <w:rFonts w:hint="eastAsia" w:ascii="宋体" w:hAnsi="宋体" w:cs="宋体"/>
                <w:i w:val="0"/>
                <w:color w:val="000000"/>
                <w:kern w:val="0"/>
                <w:sz w:val="28"/>
                <w:szCs w:val="28"/>
                <w:u w:val="none"/>
                <w:lang w:val="en-US" w:eastAsia="zh-CN" w:bidi="ar"/>
              </w:rPr>
              <w:t>；</w:t>
            </w:r>
          </w:p>
          <w:p>
            <w:pPr>
              <w:keepNext w:val="0"/>
              <w:keepLines w:val="0"/>
              <w:pageBreakBefore w:val="0"/>
              <w:kinsoku/>
              <w:overflowPunct/>
              <w:topLinePunct w:val="0"/>
              <w:autoSpaceDE/>
              <w:autoSpaceDN/>
              <w:bidi w:val="0"/>
              <w:adjustRightInd/>
              <w:snapToGrid/>
              <w:spacing w:line="400" w:lineRule="exact"/>
              <w:rPr>
                <w:sz w:val="28"/>
                <w:szCs w:val="28"/>
              </w:rPr>
            </w:pPr>
            <w:r>
              <w:rPr>
                <w:rFonts w:hint="eastAsia" w:ascii="宋体" w:hAnsi="宋体" w:cs="宋体"/>
                <w:i w:val="0"/>
                <w:color w:val="000000"/>
                <w:kern w:val="0"/>
                <w:sz w:val="28"/>
                <w:szCs w:val="28"/>
                <w:u w:val="none"/>
                <w:lang w:val="en-US" w:eastAsia="zh-CN" w:bidi="ar"/>
              </w:rPr>
              <w:t>2.纸质申报材料送至各区政务服务中心（政策兑现窗口）。</w:t>
            </w:r>
          </w:p>
          <w:p>
            <w:pPr>
              <w:keepNext w:val="0"/>
              <w:keepLines w:val="0"/>
              <w:pageBreakBefore w:val="0"/>
              <w:widowControl w:val="0"/>
              <w:suppressLineNumbers w:val="0"/>
              <w:kinsoku/>
              <w:wordWrap w:val="0"/>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p>
        </w:tc>
        <w:tc>
          <w:tcPr>
            <w:tcW w:w="34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left"/>
              <w:textAlignment w:val="center"/>
              <w:outlineLvl w:val="9"/>
              <w:rPr>
                <w:rFonts w:hint="eastAsia" w:ascii="宋体" w:hAnsi="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1.线上申报网址：</w:t>
            </w:r>
            <w:r>
              <w:rPr>
                <w:rFonts w:hint="eastAsia" w:ascii="Times New Roman" w:hAnsi="Times New Roman" w:eastAsia="仿宋_GB2312" w:cs="Times New Roman"/>
                <w:color w:val="auto"/>
                <w:sz w:val="28"/>
                <w:szCs w:val="28"/>
                <w:highlight w:val="none"/>
                <w:lang w:eastAsia="zh-CN"/>
              </w:rPr>
              <w:t>https://www.gdzwfw.gov.cn/portal/v2/guide/11440100MB2C9235X1344211703Y000</w:t>
            </w:r>
            <w:r>
              <w:rPr>
                <w:rFonts w:hint="eastAsia" w:ascii="宋体" w:hAnsi="宋体" w:cs="宋体"/>
                <w:i w:val="0"/>
                <w:color w:val="000000"/>
                <w:kern w:val="0"/>
                <w:sz w:val="28"/>
                <w:szCs w:val="28"/>
                <w:u w:val="none"/>
                <w:lang w:val="en-US" w:eastAsia="zh-CN" w:bidi="ar"/>
              </w:rPr>
              <w:t>；</w:t>
            </w:r>
          </w:p>
          <w:p>
            <w:pPr>
              <w:keepNext w:val="0"/>
              <w:keepLines w:val="0"/>
              <w:pageBreakBefore w:val="0"/>
              <w:kinsoku/>
              <w:overflowPunct/>
              <w:topLinePunct w:val="0"/>
              <w:autoSpaceDE/>
              <w:autoSpaceDN/>
              <w:bidi w:val="0"/>
              <w:adjustRightInd/>
              <w:snapToGrid/>
              <w:spacing w:line="400" w:lineRule="exact"/>
              <w:rPr>
                <w:sz w:val="28"/>
                <w:szCs w:val="28"/>
              </w:rPr>
            </w:pPr>
            <w:r>
              <w:rPr>
                <w:rFonts w:hint="eastAsia" w:ascii="宋体" w:hAnsi="宋体" w:cs="宋体"/>
                <w:i w:val="0"/>
                <w:color w:val="000000"/>
                <w:kern w:val="0"/>
                <w:sz w:val="28"/>
                <w:szCs w:val="28"/>
                <w:u w:val="none"/>
                <w:lang w:val="en-US" w:eastAsia="zh-CN" w:bidi="ar"/>
              </w:rPr>
              <w:t>2.纸质申报材料送至各区政务服务中心（政策兑现窗口）。</w:t>
            </w:r>
          </w:p>
          <w:p>
            <w:pPr>
              <w:keepNext w:val="0"/>
              <w:keepLines w:val="0"/>
              <w:pageBreakBefore w:val="0"/>
              <w:widowControl/>
              <w:suppressLineNumbers w:val="0"/>
              <w:kinsoku/>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已全部上线广东政务服务网</w:t>
            </w:r>
          </w:p>
        </w:tc>
      </w:tr>
    </w:tbl>
    <w:p/>
    <w:sectPr>
      <w:footerReference r:id="rId3" w:type="default"/>
      <w:pgSz w:w="11906" w:h="16838"/>
      <w:pgMar w:top="1440" w:right="1800" w:bottom="1440" w:left="1800" w:header="851" w:footer="992" w:gutter="0"/>
      <w:pgNumType w:fmt="decimal" w:start="2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0485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0485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val="en-US" w:eastAsia="zh-CN"/>
                            </w:rPr>
                          </w:pPr>
                          <w:r>
                            <w:rPr>
                              <w:rStyle w:val="6"/>
                              <w:rFonts w:hint="eastAsia" w:ascii="仿宋_GB2312" w:hAnsi="仿宋_GB2312" w:eastAsia="仿宋_GB2312" w:cs="仿宋_GB2312"/>
                              <w:sz w:val="28"/>
                              <w:szCs w:val="28"/>
                            </w:rPr>
                            <w:t>—</w:t>
                          </w:r>
                          <w:r>
                            <w:rPr>
                              <w:rStyle w:val="6"/>
                              <w:rFonts w:hint="eastAsia" w:ascii="仿宋_GB2312" w:hAnsi="仿宋_GB2312" w:eastAsia="仿宋_GB2312" w:cs="仿宋_GB2312"/>
                              <w:sz w:val="28"/>
                              <w:szCs w:val="28"/>
                              <w:lang w:val="en-US" w:eastAsia="zh-CN"/>
                            </w:rPr>
                            <w:t xml:space="preserve"> </w:t>
                          </w: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1</w:t>
                          </w:r>
                          <w:r>
                            <w:rPr>
                              <w:rFonts w:hint="eastAsia"/>
                              <w:sz w:val="28"/>
                              <w:szCs w:val="44"/>
                              <w:lang w:eastAsia="zh-CN"/>
                            </w:rPr>
                            <w:fldChar w:fldCharType="end"/>
                          </w:r>
                          <w:r>
                            <w:rPr>
                              <w:rFonts w:hint="eastAsia"/>
                              <w:lang w:val="en-US" w:eastAsia="zh-CN"/>
                            </w:rPr>
                            <w:t xml:space="preserve"> </w:t>
                          </w:r>
                          <w:r>
                            <w:rPr>
                              <w:rStyle w:val="6"/>
                              <w:rFonts w:hint="eastAsia" w:ascii="仿宋_GB2312" w:hAnsi="仿宋_GB2312" w:eastAsia="仿宋_GB2312" w:cs="仿宋_GB2312"/>
                              <w:sz w:val="28"/>
                              <w:szCs w:val="28"/>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55.5pt;mso-position-horizontal:outside;mso-position-horizontal-relative:margin;z-index:251658240;mso-width-relative:page;mso-height-relative:page;" filled="f" stroked="f" coordsize="21600,21600" o:gfxdata="UEsDBAoAAAAAAIdO4kAAAAAAAAAAAAAAAAAEAAAAZHJzL1BLAwQUAAAACACHTuJA88ZZsdIAAAAF&#10;AQAADwAAAGRycy9kb3ducmV2LnhtbE2PQU/DMAyF70j8h8hI3FjSHVBVmu6AYAc40SHE0WvdptA4&#10;VZN1g1+PxwUulp7e8/PncnPyo1pojkNgC9nKgCJuQjtwb+F193iTg4oJucUxMFn4ogib6vKixKIN&#10;R36hpU69khKOBVpwKU2F1rFx5DGuwkQsXhdmj0nk3Ot2xqOU+1GvjbnVHgeWCw4nunfUfNYHLxhv&#10;z8Zvvzv37p+wi7XbLduHD2uvrzJzByrRKf2F4YwvO1AJ0z4cuI1qtCCPpN959rJM5N7COs8N6KrU&#10;/+mrH1BLAwQUAAAACACHTuJAkC/igsUCAADXBQAADgAAAGRycy9lMm9Eb2MueG1srVTNjtMwEL4j&#10;8Q6W79kk3WybVpuibrNBSBW70oI4u47TRDi2sd2fBXGFN+DEhTvPtc/B2Gm62wUhBPTgTjzjmfm+&#10;+Tl/tms52jBtGikyHJ9EGDFBZdmIVYZfvyqCFCNjiSgJl4Jl+JYZ/Gz69Mn5Vk3YQNaSl0wjcCLM&#10;ZKsyXFurJmFoaM1aYk6kYgKUldQtsfCpV2GpyRa8tzwcRNEw3EpdKi0pMwZu806Jp95/VTFqr6rK&#10;MIt4hiE360/tz6U7w+k5maw0UXVD92mQv8iiJY2AoAdXObEErXXzk6u2oVoaWdkTKttQVlVDmccA&#10;aOLoEZqbmijmsQA5Rh1oMv/PLX25udaoKaF2GAnSQonuvny++/r97tsnFDt6tspMwOpGgZ3dXcid&#10;M93fG7h0qHeVbt0/4EGgB6JvD+SynUUULkdRkp6BhoIqTgdpGnn2w/vXShv7nMkWOSHDGornOSWb&#10;hbEQEUx7ExdMyKLh3BeQC7TN8PAU/B9p4AUX7gaSAB97qSvMh3E0vkwv0yRIBsPLIInyPJgV8yQY&#10;FvHoLD/N5/M8/uj8xcmkbsqSCRevb5I4+bMi7Nu1K++hTYzkTencuZSMXi3nXKMNgSYt/M8RDMk/&#10;MAuP0/BqQPUIUjxIoovBOCiG6ShIiuQsGI+iNIji8cV4GCXjJC+OIS0awf4d0hH7D5LuCnbAtuSE&#10;vv0tNJfOPTRgoC9c6Nqwazcn2d1yt+/BpSxvoTW17GbbKFo00D8LYuw10TDM0HOwoOwVHBWX0Cdy&#10;L2FUS/3+V/fOHsoLWoy2sBwybN6tiWYY8RcCps9tkl7QvbDsBbFu5xJKCRMF2XgRHmjLe7HSsn0D&#10;e2vmooCKCAqxMmx7cW67FQV7j7LZzButlW5WdfcAdocidiFuFHVhfBOp2drCRPhBcRR1vACZ7gO2&#10;h6d1v+ncenr47a3u9/H0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PPGWbHSAAAABQEAAA8AAAAA&#10;AAAAAQAgAAAAIgAAAGRycy9kb3ducmV2LnhtbFBLAQIUABQAAAAIAIdO4kCQL+KCxQIAANcFAAAO&#10;AAAAAAAAAAEAIAAAACEBAABkcnMvZTJvRG9jLnhtbFBLBQYAAAAABgAGAFkBAABYBgAAAAA=&#10;">
              <v:fill on="f" focussize="0,0"/>
              <v:stroke on="f" weight="0.5pt"/>
              <v:imagedata o:title=""/>
              <o:lock v:ext="edit" aspectratio="f"/>
              <v:textbox inset="0mm,0mm,0mm,0mm" style="mso-fit-shape-to-text:t;">
                <w:txbxContent>
                  <w:p>
                    <w:pPr>
                      <w:pStyle w:val="3"/>
                      <w:rPr>
                        <w:rFonts w:hint="eastAsia" w:eastAsia="宋体"/>
                        <w:lang w:val="en-US" w:eastAsia="zh-CN"/>
                      </w:rPr>
                    </w:pPr>
                    <w:r>
                      <w:rPr>
                        <w:rStyle w:val="6"/>
                        <w:rFonts w:hint="eastAsia" w:ascii="仿宋_GB2312" w:hAnsi="仿宋_GB2312" w:eastAsia="仿宋_GB2312" w:cs="仿宋_GB2312"/>
                        <w:sz w:val="28"/>
                        <w:szCs w:val="28"/>
                      </w:rPr>
                      <w:t>—</w:t>
                    </w:r>
                    <w:r>
                      <w:rPr>
                        <w:rStyle w:val="6"/>
                        <w:rFonts w:hint="eastAsia" w:ascii="仿宋_GB2312" w:hAnsi="仿宋_GB2312" w:eastAsia="仿宋_GB2312" w:cs="仿宋_GB2312"/>
                        <w:sz w:val="28"/>
                        <w:szCs w:val="28"/>
                        <w:lang w:val="en-US" w:eastAsia="zh-CN"/>
                      </w:rPr>
                      <w:t xml:space="preserve"> </w:t>
                    </w: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1</w:t>
                    </w:r>
                    <w:r>
                      <w:rPr>
                        <w:rFonts w:hint="eastAsia"/>
                        <w:sz w:val="28"/>
                        <w:szCs w:val="44"/>
                        <w:lang w:eastAsia="zh-CN"/>
                      </w:rPr>
                      <w:fldChar w:fldCharType="end"/>
                    </w:r>
                    <w:r>
                      <w:rPr>
                        <w:rFonts w:hint="eastAsia"/>
                        <w:lang w:val="en-US" w:eastAsia="zh-CN"/>
                      </w:rPr>
                      <w:t xml:space="preserve"> </w:t>
                    </w:r>
                    <w:r>
                      <w:rPr>
                        <w:rStyle w:val="6"/>
                        <w:rFonts w:hint="eastAsia" w:ascii="仿宋_GB2312" w:hAnsi="仿宋_GB2312" w:eastAsia="仿宋_GB2312" w:cs="仿宋_GB2312"/>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3C34B"/>
    <w:multiLevelType w:val="singleLevel"/>
    <w:tmpl w:val="66E3C34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81424"/>
    <w:rsid w:val="62481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BodyText2"/>
    <w:basedOn w:val="1"/>
    <w:qFormat/>
    <w:uiPriority w:val="0"/>
    <w:pPr>
      <w:spacing w:after="120" w:line="480" w:lineRule="auto"/>
      <w:jc w:val="both"/>
      <w:textAlignment w:val="baseline"/>
    </w:pPr>
    <w:rPr>
      <w:rFonts w:ascii="Calibri" w:hAnsi="Calibri" w:eastAsia="宋体" w:cs="Times New Roma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824</Words>
  <Characters>1082</Characters>
  <Lines>0</Lines>
  <Paragraphs>0</Paragraphs>
  <TotalTime>6</TotalTime>
  <ScaleCrop>false</ScaleCrop>
  <LinksUpToDate>false</LinksUpToDate>
  <CharactersWithSpaces>1082</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2024-01-25T03:39:00Z</dcterms:created>
  <dc:creator>廖志1661171952631</dc:creator>
  <cp:lastModifiedBy>廖志1661171952631</cp:lastModifiedBy>
  <dcterms:modified xsi:type="dcterms:W3CDTF">2024-01-25T03:49:57Z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