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广州市农业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机械化技术推广站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报废国有资产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处置回收竞价须知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申请人根据市场行情报价，填写《广州市农业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机械化技术推广站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报废国有资产处置回收残值统计表》加盖公章，价格一经盖章确认不得修改，请谨慎报价。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申请人请于20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日前提交密封报价表，本次竞价采用最高价中标的原则。根据价格高低确定中标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，若出现相同报价的，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先提交资料的中标（以寄出时间为准）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；若最高竞标价者放弃，由第二价高者中标，以此类推。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，中标申请企业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按报价金额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先行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支付款项（采取转账方式），须协助我单位办理上缴国库相关事宜,待款项、发票到位后再清运报废的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其他未尽事宜广州市农业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机械化技术推广站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拥有最终解释权。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1120" w:firstLine="630"/>
        <w:jc w:val="center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广州市农业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eastAsia="zh-CN"/>
        </w:rPr>
        <w:t>机械化技术推广站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3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20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17" w:bottom="1984" w:left="1417" w:header="851" w:footer="141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530"/>
    <w:multiLevelType w:val="multilevel"/>
    <w:tmpl w:val="31A255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941E0"/>
    <w:rsid w:val="5EC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2024-01-16T03:37:00Z</dcterms:created>
  <dc:creator>谢曼莹1673944446715</dc:creator>
  <cp:lastModifiedBy>谢曼莹1673944446715</cp:lastModifiedBy>
  <dcterms:modified xsi:type="dcterms:W3CDTF">2024-01-16T03:37:59Z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