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 w:line="4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bookmarkStart w:id="0" w:name="_Toc221333838"/>
      <w:bookmarkStart w:id="1" w:name="_Toc326099821"/>
      <w:r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  <w:t>2023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</w:rPr>
        <w:t>年广州农博士推广员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  <w:lang w:eastAsia="zh-CN"/>
        </w:rPr>
        <w:t>团队</w:t>
      </w:r>
      <w:r>
        <w:rPr>
          <w:rFonts w:hint="eastAsia" w:ascii="方正小标宋简体" w:hAnsi="方正小标宋简体" w:eastAsia="方正小标宋简体"/>
          <w:b/>
          <w:bCs/>
          <w:sz w:val="48"/>
          <w:szCs w:val="48"/>
        </w:rPr>
        <w:t>运营服务需求</w:t>
      </w:r>
    </w:p>
    <w:bookmarkEnd w:id="0"/>
    <w:bookmarkEnd w:id="1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2" w:name="_Toc482957992"/>
      <w:bookmarkStart w:id="3" w:name="_Toc426103087"/>
      <w:bookmarkStart w:id="4" w:name="_Toc395201246"/>
      <w:r>
        <w:rPr>
          <w:rFonts w:hint="eastAsia" w:ascii="仿宋" w:hAnsi="仿宋" w:eastAsia="仿宋"/>
          <w:b/>
          <w:bCs/>
          <w:sz w:val="32"/>
          <w:szCs w:val="32"/>
        </w:rPr>
        <w:t>一、投标人资格要求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（一）申请单位必须是</w:t>
      </w:r>
      <w:r>
        <w:rPr>
          <w:rFonts w:hint="eastAsia" w:ascii="仿宋_GB2312" w:hAnsi="微软雅黑" w:eastAsia="仿宋_GB2312" w:cs="宋体"/>
          <w:i w:val="0"/>
          <w:caps w:val="0"/>
          <w:color w:val="333333"/>
          <w:spacing w:val="0"/>
          <w:kern w:val="0"/>
          <w:sz w:val="32"/>
          <w:szCs w:val="32"/>
        </w:rPr>
        <w:t>在中华人民共和国境内注册的法人或其它组织，具有独立承担民事责任能力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480"/>
        <w:textAlignment w:val="auto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（二）本项目</w:t>
      </w:r>
      <w:r>
        <w:rPr>
          <w:rFonts w:hint="eastAsia" w:ascii="仿宋_GB2312" w:hAnsi="微软雅黑" w:eastAsia="仿宋_GB2312" w:cs="宋体"/>
          <w:i w:val="0"/>
          <w:caps w:val="0"/>
          <w:color w:val="333333"/>
          <w:spacing w:val="0"/>
          <w:kern w:val="0"/>
          <w:sz w:val="32"/>
          <w:szCs w:val="32"/>
        </w:rPr>
        <w:t>不接受联合投标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、</w:t>
      </w:r>
      <w:bookmarkEnd w:id="2"/>
      <w:r>
        <w:rPr>
          <w:rFonts w:hint="eastAsia" w:ascii="仿宋" w:hAnsi="仿宋" w:eastAsia="仿宋"/>
          <w:b/>
          <w:bCs/>
          <w:sz w:val="32"/>
          <w:szCs w:val="32"/>
        </w:rPr>
        <w:t>总体要求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whit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（一）</w:t>
      </w:r>
      <w:r>
        <w:rPr>
          <w:rFonts w:hint="eastAsia" w:ascii="仿宋" w:hAnsi="仿宋" w:eastAsia="仿宋" w:cs="Times New Roman"/>
          <w:b/>
          <w:sz w:val="32"/>
          <w:szCs w:val="32"/>
        </w:rPr>
        <w:t>广州农博士推广员团队运营服务</w:t>
      </w:r>
      <w:r>
        <w:rPr>
          <w:rFonts w:hint="eastAsia" w:ascii="仿宋" w:hAnsi="仿宋" w:eastAsia="仿宋" w:cs="Times New Roman"/>
          <w:b/>
          <w:sz w:val="32"/>
          <w:szCs w:val="32"/>
          <w:lang w:eastAsia="zh-CN"/>
        </w:rPr>
        <w:t>。</w:t>
      </w:r>
      <w:r>
        <w:rPr>
          <w:rFonts w:ascii="仿宋" w:hAnsi="仿宋" w:eastAsia="仿宋"/>
          <w:color w:val="auto"/>
          <w:sz w:val="32"/>
          <w:szCs w:val="32"/>
          <w:highlight w:val="white"/>
        </w:rPr>
        <w:t>在业主指导下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负责广州农博士推广员团队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运营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的推广活动策划、完成推广目标、推广活动执行等工作，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根据实际需求完善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优化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  <w:lang w:eastAsia="zh-CN"/>
        </w:rPr>
        <w:t>农博士推广员</w:t>
      </w:r>
      <w:r>
        <w:rPr>
          <w:rFonts w:hint="eastAsia" w:ascii="仿宋" w:hAnsi="仿宋" w:eastAsia="仿宋"/>
          <w:color w:val="auto"/>
          <w:sz w:val="32"/>
          <w:szCs w:val="32"/>
          <w:highlight w:val="white"/>
        </w:rPr>
        <w:t>和用户问诊奖励驱动机制，鼓励用户关注、注册、转发分享及问诊，提高用户活跃度。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white"/>
        </w:rPr>
        <w:t>（</w:t>
      </w:r>
      <w:r>
        <w:rPr>
          <w:rFonts w:hint="eastAsia" w:ascii="仿宋" w:hAnsi="仿宋" w:eastAsia="仿宋"/>
          <w:sz w:val="32"/>
          <w:szCs w:val="32"/>
          <w:highlight w:val="white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  <w:highlight w:val="white"/>
        </w:rPr>
        <w:t>）投标人必须承诺完成的本服务所涉及成果的所有权归</w:t>
      </w:r>
      <w:r>
        <w:rPr>
          <w:rFonts w:hint="eastAsia" w:ascii="仿宋" w:hAnsi="仿宋" w:eastAsia="仿宋"/>
          <w:sz w:val="32"/>
          <w:szCs w:val="32"/>
          <w:highlight w:val="white"/>
          <w:lang w:eastAsia="zh-CN"/>
        </w:rPr>
        <w:t>广州市农业机械化技术推广站</w:t>
      </w:r>
      <w:r>
        <w:rPr>
          <w:rFonts w:hint="eastAsia" w:ascii="仿宋" w:hAnsi="仿宋" w:eastAsia="仿宋"/>
          <w:sz w:val="32"/>
          <w:szCs w:val="32"/>
          <w:highlight w:val="white"/>
        </w:rPr>
        <w:t>所有。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auto"/>
        <w:ind w:firstLine="643" w:firstLineChars="200"/>
        <w:textAlignment w:val="auto"/>
        <w:outlineLvl w:val="9"/>
        <w:rPr>
          <w:rFonts w:ascii="仿宋" w:hAnsi="仿宋" w:eastAsia="仿宋"/>
          <w:b/>
          <w:bCs/>
          <w:sz w:val="32"/>
          <w:szCs w:val="32"/>
        </w:rPr>
      </w:pPr>
      <w:bookmarkStart w:id="5" w:name="_Toc482957993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、项目背景</w:t>
      </w:r>
      <w:bookmarkEnd w:id="3"/>
      <w:bookmarkEnd w:id="4"/>
      <w:bookmarkEnd w:id="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从2012年开始，在广州市农业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宋体"/>
          <w:sz w:val="32"/>
          <w:szCs w:val="32"/>
        </w:rPr>
        <w:t>局的指导下，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广州市农业机械化技术推广站</w:t>
      </w:r>
      <w:r>
        <w:rPr>
          <w:rFonts w:hint="eastAsia" w:ascii="仿宋" w:hAnsi="仿宋" w:eastAsia="仿宋" w:cs="宋体"/>
          <w:sz w:val="32"/>
          <w:szCs w:val="32"/>
        </w:rPr>
        <w:t>与广州市农技推广中心负责建设的“广州农博士”已形成一套具有向农村提供远程种养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专家</w:t>
      </w:r>
      <w:r>
        <w:rPr>
          <w:rFonts w:hint="eastAsia" w:ascii="仿宋" w:hAnsi="仿宋" w:eastAsia="仿宋" w:cs="宋体"/>
          <w:sz w:val="32"/>
          <w:szCs w:val="32"/>
        </w:rPr>
        <w:t>问诊、市场行情、灾情预警和农技知识推广等功能于一体的综合性服务平台，并稳定运营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，应用效果良好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广州农博士综合服务平台</w:t>
      </w:r>
      <w:r>
        <w:rPr>
          <w:rFonts w:hint="eastAsia" w:ascii="仿宋" w:hAnsi="仿宋" w:eastAsia="仿宋" w:cs="宋体"/>
          <w:sz w:val="32"/>
          <w:szCs w:val="32"/>
        </w:rPr>
        <w:t>目前已经建有微信版和管理后台功能，经过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宋体"/>
          <w:sz w:val="32"/>
          <w:szCs w:val="32"/>
        </w:rPr>
        <w:t>年的建设和应用推广，注册用户发展数量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万多</w:t>
      </w:r>
      <w:r>
        <w:rPr>
          <w:rFonts w:hint="eastAsia" w:ascii="仿宋" w:hAnsi="仿宋" w:eastAsia="仿宋" w:cs="宋体"/>
          <w:sz w:val="32"/>
          <w:szCs w:val="32"/>
        </w:rPr>
        <w:t>人，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广州农博士</w:t>
      </w:r>
      <w:r>
        <w:rPr>
          <w:rFonts w:hint="eastAsia" w:ascii="仿宋" w:hAnsi="仿宋" w:eastAsia="仿宋" w:cs="宋体"/>
          <w:sz w:val="32"/>
          <w:szCs w:val="32"/>
        </w:rPr>
        <w:t>微信公众号关注人数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万多</w:t>
      </w:r>
      <w:r>
        <w:rPr>
          <w:rFonts w:hint="eastAsia" w:ascii="仿宋" w:hAnsi="仿宋" w:eastAsia="仿宋" w:cs="宋体"/>
          <w:sz w:val="32"/>
          <w:szCs w:val="32"/>
        </w:rPr>
        <w:t>人。这些数据从一个侧面说明,农博士越来越受欢迎。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同时，经调查发现，现阶段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农博士平台使用</w:t>
      </w:r>
      <w:r>
        <w:rPr>
          <w:rFonts w:hint="eastAsia" w:ascii="仿宋" w:hAnsi="仿宋" w:eastAsia="仿宋" w:cs="宋体"/>
          <w:sz w:val="32"/>
          <w:szCs w:val="32"/>
        </w:rPr>
        <w:t>频率不高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用户对农博士功能了解不全面、用户对农博士操作不熟悉等“三不”问题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农博士的知名度有待进一步加强。对此，需要再对农博士进行精准推广，吸引更多的人关注，提高农博士的问诊量，增强用户的活跃度。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6" w:name="_Toc482957994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、项目目标</w:t>
      </w:r>
      <w:bookmarkEnd w:id="6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仿宋" w:hAnsi="仿宋" w:eastAsia="仿宋" w:cs="宋体"/>
          <w:sz w:val="32"/>
          <w:szCs w:val="32"/>
        </w:rPr>
      </w:pPr>
      <w:bookmarkStart w:id="7" w:name="_Toc334177020"/>
      <w:bookmarkStart w:id="8" w:name="_Toc395201247"/>
      <w:bookmarkStart w:id="9" w:name="_Toc426103088"/>
      <w:bookmarkStart w:id="10" w:name="_Toc329157424"/>
      <w:bookmarkStart w:id="11" w:name="_Toc273524130"/>
      <w:bookmarkStart w:id="12" w:name="_Toc482957995"/>
      <w:bookmarkStart w:id="13" w:name="_Toc395201248"/>
      <w:bookmarkStart w:id="14" w:name="_Toc329157425"/>
      <w:bookmarkStart w:id="15" w:name="_Toc334177021"/>
      <w:bookmarkStart w:id="16" w:name="_Toc273524131"/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本项目通过强化广州农博士推广员体系，对广州</w:t>
      </w:r>
      <w:r>
        <w:rPr>
          <w:rFonts w:hint="eastAsia" w:ascii="仿宋" w:hAnsi="仿宋" w:eastAsia="仿宋" w:cs="宋体"/>
          <w:sz w:val="32"/>
          <w:szCs w:val="32"/>
        </w:rPr>
        <w:t>农博士进行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科学高效的</w:t>
      </w:r>
      <w:r>
        <w:rPr>
          <w:rFonts w:hint="eastAsia" w:ascii="仿宋" w:hAnsi="仿宋" w:eastAsia="仿宋" w:cs="宋体"/>
          <w:sz w:val="32"/>
          <w:szCs w:val="32"/>
        </w:rPr>
        <w:t>推广，吸引更多的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涉农工作者会</w:t>
      </w:r>
      <w:r>
        <w:rPr>
          <w:rFonts w:hint="eastAsia" w:ascii="仿宋" w:hAnsi="仿宋" w:eastAsia="仿宋" w:cs="宋体"/>
          <w:sz w:val="32"/>
          <w:szCs w:val="32"/>
        </w:rPr>
        <w:t>关注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会使用、会宣传广州农博士平台</w:t>
      </w:r>
      <w:r>
        <w:rPr>
          <w:rFonts w:hint="eastAsia" w:ascii="仿宋" w:hAnsi="仿宋" w:eastAsia="仿宋" w:cs="宋体"/>
          <w:sz w:val="32"/>
          <w:szCs w:val="32"/>
        </w:rPr>
        <w:t>，提高农博士的问诊量，增强用户的活跃度。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、项目</w:t>
      </w:r>
      <w:bookmarkEnd w:id="7"/>
      <w:bookmarkEnd w:id="8"/>
      <w:bookmarkEnd w:id="9"/>
      <w:bookmarkEnd w:id="10"/>
      <w:bookmarkEnd w:id="11"/>
      <w:r>
        <w:rPr>
          <w:rFonts w:hint="eastAsia" w:ascii="仿宋" w:hAnsi="仿宋" w:eastAsia="仿宋"/>
          <w:b/>
          <w:bCs/>
          <w:sz w:val="32"/>
          <w:szCs w:val="32"/>
        </w:rPr>
        <w:t>需求</w:t>
      </w:r>
      <w:bookmarkEnd w:id="1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17" w:name="_Toc482957996"/>
      <w:r>
        <w:rPr>
          <w:rFonts w:hint="eastAsia" w:ascii="仿宋" w:hAnsi="仿宋" w:eastAsia="仿宋"/>
          <w:b/>
          <w:bCs/>
          <w:sz w:val="32"/>
          <w:szCs w:val="32"/>
        </w:rPr>
        <w:t>（一）项目名称</w:t>
      </w:r>
      <w:bookmarkEnd w:id="13"/>
      <w:bookmarkEnd w:id="14"/>
      <w:bookmarkEnd w:id="15"/>
      <w:bookmarkEnd w:id="16"/>
      <w:bookmarkEnd w:id="17"/>
      <w:bookmarkStart w:id="18" w:name="_Toc27352413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2023年广州农博士推广员团队运营服务</w:t>
      </w:r>
    </w:p>
    <w:bookmarkEnd w:id="18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19" w:name="_Toc395201249"/>
      <w:bookmarkStart w:id="20" w:name="_Toc482957997"/>
      <w:r>
        <w:rPr>
          <w:rFonts w:hint="eastAsia" w:ascii="仿宋" w:hAnsi="仿宋" w:eastAsia="仿宋"/>
          <w:b/>
          <w:bCs/>
          <w:sz w:val="32"/>
          <w:szCs w:val="32"/>
        </w:rPr>
        <w:t>（二）</w:t>
      </w:r>
      <w:bookmarkEnd w:id="19"/>
      <w:r>
        <w:rPr>
          <w:rFonts w:hint="eastAsia" w:ascii="仿宋" w:hAnsi="仿宋" w:eastAsia="仿宋"/>
          <w:b/>
          <w:bCs/>
          <w:sz w:val="32"/>
          <w:szCs w:val="32"/>
        </w:rPr>
        <w:t>项目周期</w:t>
      </w:r>
      <w:bookmarkEnd w:id="2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bookmarkStart w:id="21" w:name="_Toc329157427"/>
      <w:bookmarkStart w:id="22" w:name="_Toc334177023"/>
      <w:r>
        <w:rPr>
          <w:rFonts w:hint="eastAsia" w:ascii="仿宋" w:hAnsi="仿宋" w:eastAsia="仿宋" w:cs="宋体"/>
          <w:sz w:val="32"/>
          <w:szCs w:val="32"/>
        </w:rPr>
        <w:t>本项目服务周期为一年。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bookmarkStart w:id="23" w:name="_Toc482957998"/>
      <w:r>
        <w:rPr>
          <w:rFonts w:hint="eastAsia" w:ascii="仿宋" w:hAnsi="仿宋" w:eastAsia="仿宋"/>
          <w:b/>
          <w:sz w:val="32"/>
          <w:szCs w:val="32"/>
        </w:rPr>
        <w:t>（三）项目内容</w:t>
      </w:r>
      <w:bookmarkEnd w:id="2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项目服务需求调研综合分析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对广州农博士</w:t>
      </w:r>
      <w:r>
        <w:rPr>
          <w:rFonts w:hint="eastAsia" w:ascii="仿宋" w:hAnsi="仿宋" w:eastAsia="仿宋"/>
          <w:sz w:val="32"/>
          <w:szCs w:val="32"/>
          <w:lang w:eastAsia="zh-CN"/>
        </w:rPr>
        <w:t>服务平台现有应用情况及存在问题</w:t>
      </w:r>
      <w:r>
        <w:rPr>
          <w:rFonts w:hint="eastAsia" w:ascii="仿宋" w:hAnsi="仿宋" w:eastAsia="仿宋"/>
          <w:sz w:val="32"/>
          <w:szCs w:val="32"/>
        </w:rPr>
        <w:t>进行需求调研</w:t>
      </w:r>
      <w:r>
        <w:rPr>
          <w:rFonts w:hint="eastAsia" w:ascii="仿宋" w:hAnsi="仿宋" w:eastAsia="仿宋"/>
          <w:sz w:val="32"/>
          <w:szCs w:val="32"/>
          <w:lang w:eastAsia="zh-CN"/>
        </w:rPr>
        <w:t>及分析，</w:t>
      </w:r>
      <w:r>
        <w:rPr>
          <w:rFonts w:hint="eastAsia" w:ascii="仿宋" w:hAnsi="仿宋" w:eastAsia="仿宋"/>
          <w:sz w:val="32"/>
          <w:szCs w:val="32"/>
        </w:rPr>
        <w:t>配合业主参加科技下乡</w:t>
      </w:r>
      <w:r>
        <w:rPr>
          <w:rFonts w:hint="eastAsia" w:ascii="仿宋" w:hAnsi="仿宋" w:eastAsia="仿宋"/>
          <w:sz w:val="32"/>
          <w:szCs w:val="32"/>
          <w:lang w:eastAsia="zh-CN"/>
        </w:rPr>
        <w:t>、农业</w:t>
      </w:r>
      <w:r>
        <w:rPr>
          <w:rFonts w:hint="eastAsia" w:ascii="仿宋" w:hAnsi="仿宋" w:eastAsia="仿宋"/>
          <w:sz w:val="32"/>
          <w:szCs w:val="32"/>
        </w:rPr>
        <w:t>科普</w:t>
      </w:r>
      <w:r>
        <w:rPr>
          <w:rFonts w:hint="eastAsia" w:ascii="仿宋" w:hAnsi="仿宋" w:eastAsia="仿宋"/>
          <w:sz w:val="32"/>
          <w:szCs w:val="32"/>
          <w:lang w:eastAsia="zh-CN"/>
        </w:rPr>
        <w:t>、农技培训等活动</w:t>
      </w:r>
      <w:r>
        <w:rPr>
          <w:rFonts w:hint="eastAsia" w:ascii="仿宋" w:hAnsi="仿宋" w:eastAsia="仿宋"/>
          <w:sz w:val="32"/>
          <w:szCs w:val="32"/>
        </w:rPr>
        <w:t>把最新的</w:t>
      </w:r>
      <w:r>
        <w:rPr>
          <w:rFonts w:hint="eastAsia" w:ascii="仿宋" w:hAnsi="仿宋" w:eastAsia="仿宋"/>
          <w:sz w:val="32"/>
          <w:szCs w:val="32"/>
          <w:lang w:eastAsia="zh-CN"/>
        </w:rPr>
        <w:t>农业信息服务</w:t>
      </w:r>
      <w:r>
        <w:rPr>
          <w:rFonts w:hint="eastAsia" w:ascii="仿宋" w:hAnsi="仿宋" w:eastAsia="仿宋"/>
          <w:sz w:val="32"/>
          <w:szCs w:val="32"/>
        </w:rPr>
        <w:t>带给农民朋友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收集用户意见，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了解各种业务服务、内容服务、功能服务等需求，编制项目服务需求文档。</w:t>
      </w:r>
    </w:p>
    <w:p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创建</w:t>
      </w:r>
      <w:r>
        <w:rPr>
          <w:rFonts w:hint="eastAsia" w:ascii="仿宋" w:hAnsi="仿宋" w:eastAsia="仿宋" w:cs="Times New Roman"/>
          <w:b/>
          <w:sz w:val="32"/>
          <w:szCs w:val="32"/>
        </w:rPr>
        <w:t>广州农博士</w:t>
      </w: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推广员管理体系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white"/>
          <w:lang w:val="en-US" w:eastAsia="zh-CN" w:bidi="ar-SA"/>
        </w:rPr>
        <w:t>依托广州农博士服务站为核心凝聚，对推广员进行统筹统配及运营管理，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注重多领域、广覆盖与多层级的组合，推广员所在区域分布合理，形成网络状的农博士推广员体系，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highlight w:val="white"/>
          <w:lang w:val="en-US" w:eastAsia="zh-CN" w:bidi="ar-SA"/>
        </w:rPr>
        <w:t>建设管理体系制度及办法（包含日常管理、考核、培训、辅导、支持等），为广州农博士高效推广需求打造好一支“汇零为整”推广员“尖兵”队伍。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农博士推广员需要能够熟悉农博士注册、问诊等操作流程，并能带动或者协助周边的用户学会使用农博士问诊服务功能，且能够配合组织农博士推广团队举办的培训。</w:t>
      </w:r>
    </w:p>
    <w:p>
      <w:pPr>
        <w:pStyle w:val="2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农博士推广员团队精细化运营服务</w:t>
      </w:r>
    </w:p>
    <w:p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定期对推广员进行考核并形成报告。项目启动后一个月内，管理方提供线下物料及电子版材料给到推广员，便于推广员能在日常生活工作中完成推广工作，包括但不限于海报、绶带、宣传单张等，赋能推广员真正成为农博士推广的“信使”。</w:t>
      </w:r>
    </w:p>
    <w:p>
      <w:pPr>
        <w:pStyle w:val="2"/>
        <w:rPr>
          <w:rFonts w:hint="default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管理运营农博士推广员团队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通过专业、高效的管理运营，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lang w:val="en-US" w:eastAsia="zh-CN" w:bidi="ar-SA"/>
        </w:rPr>
        <w:t>每月至少保持20位推广员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。制定培训计划，对推广员团队开展培训，农博士推广员需要能够熟悉农博士注册、问诊等操作流程，并能带动或者协助周边的用户学会使用农博士问诊服务功能，且能够配合组织农博士推广团队举办的培训。</w:t>
      </w:r>
      <w:r>
        <w:rPr>
          <w:rFonts w:hint="eastAsia" w:ascii="仿宋" w:hAnsi="仿宋" w:eastAsia="仿宋"/>
          <w:color w:val="auto"/>
          <w:sz w:val="32"/>
          <w:szCs w:val="32"/>
        </w:rPr>
        <w:t>项目启动后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平均</w:t>
      </w:r>
      <w:r>
        <w:rPr>
          <w:rFonts w:hint="eastAsia" w:ascii="仿宋" w:hAnsi="仿宋" w:eastAsia="仿宋"/>
          <w:color w:val="auto"/>
          <w:sz w:val="32"/>
          <w:szCs w:val="32"/>
        </w:rPr>
        <w:t>不低于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0条/月以上的高品质（问题描述清晰清楚，有细节，同时尽量有图片）问诊量，并监测问诊的浏览量和回复情况，问诊量达标量不低于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" w:hAnsi="仿宋" w:eastAsia="仿宋"/>
          <w:color w:val="auto"/>
          <w:sz w:val="32"/>
          <w:szCs w:val="32"/>
        </w:rPr>
        <w:t>0条/年。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农博士推广员激励机制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建立农博士推广员激励驱动机制，鼓励用户关注、注册、转发分享及问诊。通过积分激励机制，鼓励已注册用户主动邀请身边的同事、邻居、亲戚、朋友在广州农博士注册；鼓励已注册用户访问农博士，提高平台内容的阅读量，提高用户对平台的归属感；鼓励已注册用户在平台问诊，并跟进问诊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（四）项目商务要求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1． 工期要求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合同签订后一年内完成。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   实施要求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）投标人应充分考虑满足投标项目的要求，提出完整的项目管理、需求整理、项目实施方案。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）投标人应书面明确实施投标项目的人员配置管理计划，包括组织结构、项目负责人、组成人员的资历信息、类似项目的经验及分工职责。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）投标人一旦中标须提供投标项目的工作日程表和人员配备方案，明确工作地点、起止时间，项目负责人及主要人员应与投标书一致，并经招标人审核、批准。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中标人在项目实施过程中须配备足够的项目人员并保证人员稳定，任何变更应书面征得招标人的同意。对此中标人须无条件接受招标人的监督检查，并承担人员不足、不到位所导致的相关质量、进度等违约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）中标人在项目实施过程中出现资源、进度、质量协调控制不力的情况，招标方有权要求更换相关项目人员，中标方须予以配合，并确保不影响项目的进度和质量。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3． 服务要求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（1）本项目服务期为</w:t>
      </w:r>
      <w:r>
        <w:rPr>
          <w:rFonts w:ascii="仿宋" w:hAnsi="仿宋" w:eastAsia="仿宋"/>
          <w:sz w:val="32"/>
          <w:szCs w:val="32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年，自项目合同签订之日起计算。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知识产权：在合同履行完毕后所有的知识产权归招标人所有。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0"/>
        <w:rPr>
          <w:rFonts w:ascii="仿宋" w:hAnsi="仿宋" w:eastAsia="仿宋"/>
          <w:b/>
          <w:bCs/>
          <w:sz w:val="32"/>
          <w:szCs w:val="32"/>
        </w:rPr>
      </w:pPr>
      <w:bookmarkStart w:id="24" w:name="_Toc482957999"/>
      <w:r>
        <w:rPr>
          <w:rFonts w:hint="eastAsia" w:ascii="仿宋" w:hAnsi="仿宋" w:eastAsia="仿宋"/>
          <w:b/>
          <w:bCs/>
          <w:sz w:val="32"/>
          <w:szCs w:val="32"/>
        </w:rPr>
        <w:t>六、</w:t>
      </w:r>
      <w:r>
        <w:rPr>
          <w:rFonts w:ascii="仿宋" w:hAnsi="仿宋" w:eastAsia="仿宋"/>
          <w:b/>
          <w:bCs/>
          <w:sz w:val="32"/>
          <w:szCs w:val="32"/>
        </w:rPr>
        <w:t>评标方案</w:t>
      </w:r>
      <w:bookmarkEnd w:id="2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（一）本项目采用综合评分法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（二）中标依据：在不高于最高限价的前提下，综合评估分最高的为中标候选人。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（三）技术部分响应性评定（见附表一《技术评审表》）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1.由评标委员会对所有投标文件的技术部分的响应进行审核和分析；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2.评委独立进行评价和评分，填写“技术部分响应评分表”；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3.评分标准：按照单项分值计算得分；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4.将每一个评委的评分汇集，进行算术平均（精确到小数点后两位），得出该投标人的技术得分。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（四）商务部分响应性评估（见附表二《商务评审表》）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1.由评标委员会对所有投标文件的商务部分的响应进行审核和分析；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2.评委独立进行评价和评分，填写“商务部分响应评分表”；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3.评分标准：按照单项分值计算得分；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4.将每一个评委的评分汇集，进行算术平均（精确到小数点后两位），得出该投标人的商务得分。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（五）价格响应性评估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1.由评标委员会对所有投标文件的价格部分的响应进行审核和分析。投标人报价低于总价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0%的需要出具相关成本核算说明。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2.基准价格分：以有效投标人报价中价格最低的投标报价为基准价，定其基准价格分为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3.投标人的价格得分=（评标基准价 / 投标人报价）×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0（精确到小数点后两位）分。由此算出每个投标人的“价格得分”。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4.评委检查每个投标人的价格评分计算情况，确认“价格得分”。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（六）综合</w:t>
      </w:r>
      <w:r>
        <w:rPr>
          <w:rFonts w:ascii="仿宋" w:hAnsi="仿宋" w:eastAsia="仿宋"/>
          <w:sz w:val="32"/>
          <w:szCs w:val="32"/>
        </w:rPr>
        <w:t>评估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综合评估分的计算和排序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09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综合评估分中各评估因素所占权重（见下表）</w:t>
      </w:r>
      <w:bookmarkStart w:id="25" w:name="SubDocScoreRule"/>
    </w:p>
    <w:tbl>
      <w:tblPr>
        <w:tblStyle w:val="10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2421"/>
        <w:gridCol w:w="2421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评估因素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技术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与服务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商务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评估权重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0</w:t>
            </w:r>
          </w:p>
        </w:tc>
      </w:tr>
      <w:bookmarkEnd w:id="25"/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1.综合评估分（精确到小数点后两位）=技术与服务得分+商务得分+价格得分；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2.将综合评估分从高到低排序，得分相同的，按投标报价由低到高顺序排列。得分且投标报价相同的，按技术与服务得分高低顺序排列；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/>
          <w:b/>
          <w:bCs/>
          <w:spacing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3.评标委员会按排名顺序推荐</w:t>
      </w:r>
      <w:r>
        <w:rPr>
          <w:rFonts w:hint="eastAsia" w:ascii="仿宋" w:hAnsi="仿宋" w:eastAsia="仿宋"/>
          <w:sz w:val="32"/>
          <w:szCs w:val="32"/>
          <w:lang w:eastAsia="zh-CN"/>
        </w:rPr>
        <w:t>第一</w:t>
      </w:r>
      <w:r>
        <w:rPr>
          <w:rFonts w:hint="eastAsia" w:ascii="仿宋" w:hAnsi="仿宋" w:eastAsia="仿宋"/>
          <w:sz w:val="32"/>
          <w:szCs w:val="32"/>
        </w:rPr>
        <w:t>名为中标候选人。</w:t>
      </w:r>
      <w:r>
        <w:br w:type="page"/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附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表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一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：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技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术</w:t>
      </w:r>
      <w:r>
        <w:rPr>
          <w:rFonts w:hint="eastAsia" w:ascii="仿宋" w:hAnsi="仿宋" w:eastAsia="仿宋"/>
          <w:b/>
          <w:bCs/>
          <w:spacing w:val="1"/>
          <w:w w:val="95"/>
          <w:sz w:val="32"/>
          <w:szCs w:val="32"/>
        </w:rPr>
        <w:t>评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表</w:t>
      </w:r>
    </w:p>
    <w:p>
      <w:pPr>
        <w:pStyle w:val="4"/>
        <w:kinsoku w:val="0"/>
        <w:overflowPunct w:val="0"/>
        <w:ind w:left="538"/>
        <w:rPr>
          <w:b/>
          <w:sz w:val="28"/>
          <w:szCs w:val="28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技</w:t>
      </w:r>
      <w:r>
        <w:rPr>
          <w:rFonts w:hint="eastAsia" w:ascii="仿宋" w:hAnsi="仿宋" w:eastAsia="仿宋"/>
          <w:b/>
          <w:sz w:val="32"/>
          <w:szCs w:val="32"/>
        </w:rPr>
        <w:t>术与服务</w:t>
      </w:r>
      <w:r>
        <w:rPr>
          <w:rFonts w:hint="eastAsia" w:ascii="仿宋" w:hAnsi="仿宋" w:eastAsia="仿宋"/>
          <w:b/>
          <w:spacing w:val="2"/>
          <w:sz w:val="32"/>
          <w:szCs w:val="32"/>
        </w:rPr>
        <w:t>评</w:t>
      </w:r>
      <w:r>
        <w:rPr>
          <w:rFonts w:hint="eastAsia" w:ascii="仿宋" w:hAnsi="仿宋" w:eastAsia="仿宋"/>
          <w:b/>
          <w:sz w:val="32"/>
          <w:szCs w:val="32"/>
        </w:rPr>
        <w:t>审表</w:t>
      </w:r>
    </w:p>
    <w:p>
      <w:pPr>
        <w:pStyle w:val="4"/>
        <w:kinsoku w:val="0"/>
        <w:overflowPunct w:val="0"/>
        <w:ind w:left="538"/>
        <w:sectPr>
          <w:pgSz w:w="11907" w:h="16840"/>
          <w:pgMar w:top="1340" w:right="1020" w:bottom="720" w:left="1300" w:header="0" w:footer="533" w:gutter="0"/>
          <w:cols w:space="720" w:num="1"/>
        </w:sectPr>
      </w:pPr>
    </w:p>
    <w:tbl>
      <w:tblPr>
        <w:tblStyle w:val="10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669"/>
        <w:gridCol w:w="3793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评分范围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firstLine="281" w:firstLineChars="100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对项目背景、现状、目标的理解，对项目服务难点的分析和应对策略及总体建议，重点评价对项目的整体理解情况。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对服务要求、任务和目标的理解与响应，提交的工作计划是否可行并满足服务要求。</w:t>
            </w:r>
          </w:p>
        </w:tc>
        <w:tc>
          <w:tcPr>
            <w:tcW w:w="3793" w:type="dxa"/>
            <w:vAlign w:val="top"/>
          </w:tcPr>
          <w:p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农博士推广员运营方案策划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方案是否可行并符合项目需要</w:t>
            </w:r>
          </w:p>
        </w:tc>
        <w:tc>
          <w:tcPr>
            <w:tcW w:w="3793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横向对比：优：5~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4分；中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1~2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~1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</w:t>
            </w:r>
          </w:p>
          <w:p/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669" w:type="dxa"/>
            <w:vAlign w:val="top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农博士推广员运营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方案预算是否可行并符合项目需要（项目的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成本预算、奖励机制的配置可行性以及运营成本的控制）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横向对比：优：5~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4分；中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1~2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~1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</w:t>
            </w:r>
          </w:p>
          <w:p>
            <w:pPr>
              <w:widowControl/>
              <w:spacing w:line="36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农博士专家问诊使用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流程的熟悉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发展现状、系统特点、操作功能的掌握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程度。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横向对比：优:4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5分；良：2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项目执行实施措施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7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培训、质量保证、服务计划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横向对比：优: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分；良：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~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分；差：0~1分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188" w:type="dxa"/>
            <w:gridSpan w:val="3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168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4"/>
        <w:kinsoku w:val="0"/>
        <w:overflowPunct w:val="0"/>
        <w:spacing w:line="346" w:lineRule="exact"/>
        <w:sectPr>
          <w:type w:val="continuous"/>
          <w:pgSz w:w="11907" w:h="16840"/>
          <w:pgMar w:top="1040" w:right="1020" w:bottom="280" w:left="1300" w:header="720" w:footer="720" w:gutter="0"/>
          <w:cols w:space="720" w:num="1"/>
        </w:sectPr>
      </w:pPr>
    </w:p>
    <w:p>
      <w:pPr>
        <w:pStyle w:val="4"/>
        <w:kinsoku w:val="0"/>
        <w:overflowPunct w:val="0"/>
        <w:ind w:left="538"/>
        <w:rPr>
          <w:rFonts w:hint="eastAsia" w:ascii="仿宋" w:hAnsi="仿宋" w:eastAsia="仿宋"/>
          <w:b/>
          <w:spacing w:val="2"/>
          <w:sz w:val="32"/>
          <w:szCs w:val="32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附表二：商务评审表</w:t>
      </w:r>
    </w:p>
    <w:p>
      <w:pPr>
        <w:bidi w:val="0"/>
        <w:rPr>
          <w:rFonts w:hint="eastAsia"/>
        </w:rPr>
      </w:pPr>
    </w:p>
    <w:tbl>
      <w:tblPr>
        <w:tblStyle w:val="10"/>
        <w:tblW w:w="95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382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评审项目</w:t>
            </w:r>
          </w:p>
        </w:tc>
        <w:tc>
          <w:tcPr>
            <w:tcW w:w="38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Arial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z w:val="28"/>
                <w:szCs w:val="28"/>
              </w:rPr>
              <w:t>评分范围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企业资质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在政府部门有登记注册的合法法人证书且在有效期内，得3分。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项目经验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采购人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 xml:space="preserve"> 年1月1日至今（以合同签订时间为准）具有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团队运营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相关经验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，每提供一个得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分，最高得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分。 （须提供合同等相关证明材料）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企业综合实力</w:t>
            </w:r>
          </w:p>
        </w:tc>
        <w:tc>
          <w:tcPr>
            <w:tcW w:w="3827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88" w:leftChars="-42"/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与互联网应用平台、新媒体服务平台设计开发、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  <w:t>活动策划、资讯管理、广告宣传等相关应用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推广运营的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资质证书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软件著作证书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每个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分，最高得分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分。（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提供相关证明文件复印件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加盖公章，无提供不得分）。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ind w:left="441" w:leftChars="210" w:firstLine="16" w:firstLineChars="6"/>
              <w:jc w:val="both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本项目主要技术人员资质情况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综合考虑人员的数量及技术实力（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  <w:lang w:val="en-US" w:eastAsia="zh-CN"/>
              </w:rPr>
              <w:t>与新媒体、互联网+、计算机、信息化等相关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人员）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认证的有效证件，每人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1.5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分，最高得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分。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须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提供加盖政府有关部门印章资质证明的复印件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《投保单》或《社会保险参保人员证明》或单位代缴个人所得税单等复印件打印日期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在本项目投标截止日之前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个月以内）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投标人信誉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提供</w:t>
            </w: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最新一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年企业财务情况、信用报告（登录“信用中国网站”查询下载）等相关佐证材料（提供复印件即可），提供一个材料得3分，最高得6分。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  <w:lang w:eastAsia="zh-CN"/>
              </w:rPr>
              <w:t>服务推广能力承诺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承诺平均每月的问诊数量在需求基础上每增加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5%加1分，最高加5分。需要提供充分分析理由和方法。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22" w:type="dxa"/>
            <w:gridSpan w:val="3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279" w:type="dxa"/>
            <w:vAlign w:val="center"/>
          </w:tcPr>
          <w:p>
            <w:pPr>
              <w:snapToGrid w:val="0"/>
              <w:spacing w:line="360" w:lineRule="exact"/>
              <w:ind w:left="-141" w:leftChars="-67" w:firstLine="165" w:firstLineChars="59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/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spacing w:line="360" w:lineRule="auto"/>
        <w:ind w:firstLine="420" w:firstLineChars="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2"/>
          <w:sz w:val="32"/>
          <w:szCs w:val="32"/>
        </w:rPr>
        <w:t>附表</w:t>
      </w:r>
      <w:r>
        <w:rPr>
          <w:rFonts w:hint="eastAsia" w:ascii="仿宋" w:hAnsi="仿宋" w:eastAsia="仿宋"/>
          <w:b/>
          <w:spacing w:val="2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b/>
          <w:spacing w:val="2"/>
          <w:sz w:val="32"/>
          <w:szCs w:val="32"/>
        </w:rPr>
        <w:t>：</w:t>
      </w:r>
      <w:r>
        <w:rPr>
          <w:rFonts w:hint="eastAsia" w:ascii="仿宋" w:hAnsi="仿宋" w:eastAsia="仿宋"/>
          <w:b/>
          <w:sz w:val="32"/>
          <w:szCs w:val="32"/>
        </w:rPr>
        <w:t>价格</w:t>
      </w:r>
      <w:r>
        <w:rPr>
          <w:rFonts w:ascii="仿宋" w:hAnsi="仿宋" w:eastAsia="仿宋"/>
          <w:b/>
          <w:sz w:val="32"/>
          <w:szCs w:val="32"/>
        </w:rPr>
        <w:t>部分响应评分表</w:t>
      </w:r>
    </w:p>
    <w:tbl>
      <w:tblPr>
        <w:tblStyle w:val="10"/>
        <w:tblW w:w="9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127"/>
        <w:gridCol w:w="474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评分项目</w:t>
            </w:r>
          </w:p>
        </w:tc>
        <w:tc>
          <w:tcPr>
            <w:tcW w:w="47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1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价格评价</w:t>
            </w:r>
          </w:p>
        </w:tc>
        <w:tc>
          <w:tcPr>
            <w:tcW w:w="4740" w:type="dxa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（评标基准价 / 投标人报价）×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0（精确到小数点后两位）分。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以有效投标人报价中价格最低的投标报价为基准价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由此算出每个投标人的“价格得分”。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</w:tbl>
    <w:p>
      <w:pPr>
        <w:pStyle w:val="4"/>
        <w:tabs>
          <w:tab w:val="left" w:pos="322"/>
          <w:tab w:val="left" w:pos="851"/>
        </w:tabs>
        <w:kinsoku w:val="0"/>
        <w:overflowPunct w:val="0"/>
        <w:spacing w:line="326" w:lineRule="exact"/>
        <w:ind w:left="-1134" w:leftChars="-540" w:firstLine="567" w:firstLineChars="270"/>
      </w:pPr>
    </w:p>
    <w:p/>
    <w:p>
      <w:pPr>
        <w:pStyle w:val="2"/>
        <w:sectPr>
          <w:footerReference r:id="rId3" w:type="default"/>
          <w:pgSz w:w="11907" w:h="16840"/>
          <w:pgMar w:top="993" w:right="1140" w:bottom="426" w:left="1300" w:header="0" w:footer="533" w:gutter="0"/>
          <w:cols w:space="720" w:num="1"/>
        </w:sectPr>
      </w:pPr>
    </w:p>
    <w:bookmarkEnd w:id="21"/>
    <w:bookmarkEnd w:id="22"/>
    <w:p>
      <w:pPr>
        <w:widowControl/>
        <w:spacing w:before="120" w:after="120" w:line="460" w:lineRule="exact"/>
        <w:jc w:val="lef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eastAsia="标宋体"/>
          <w:spacing w:val="10"/>
          <w:sz w:val="52"/>
        </w:rPr>
      </w:pPr>
    </w:p>
    <w:p>
      <w:pPr>
        <w:jc w:val="center"/>
        <w:rPr>
          <w:rFonts w:eastAsia="标宋体"/>
          <w:spacing w:val="10"/>
          <w:sz w:val="52"/>
        </w:rPr>
      </w:pPr>
    </w:p>
    <w:p>
      <w:pPr>
        <w:jc w:val="center"/>
        <w:rPr>
          <w:rFonts w:eastAsia="标宋体"/>
          <w:spacing w:val="10"/>
          <w:sz w:val="52"/>
        </w:rPr>
      </w:pPr>
    </w:p>
    <w:p>
      <w:pPr>
        <w:spacing w:line="6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2023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年广州农博士推广员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团队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 xml:space="preserve">运营服务委托申请书    </w:t>
      </w: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ascii="Times New Roman" w:hAnsi="Times New Roman"/>
          <w:szCs w:val="20"/>
        </w:rPr>
      </w:pP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eastAsia="仿宋_GB2312"/>
          <w:sz w:val="32"/>
          <w:szCs w:val="32"/>
        </w:rPr>
      </w:pPr>
      <w:r>
        <w:rPr>
          <w:rFonts w:hint="eastAsia" w:ascii="华文中宋" w:hAnsi="华文中宋" w:eastAsia="华文中宋"/>
          <w:szCs w:val="21"/>
        </w:rPr>
        <w:t xml:space="preserve">   </w:t>
      </w:r>
    </w:p>
    <w:p>
      <w:pPr>
        <w:rPr>
          <w:szCs w:val="20"/>
        </w:rPr>
      </w:pP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责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方正楷体_GBK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</w:p>
    <w:p>
      <w:pPr>
        <w:spacing w:line="420" w:lineRule="auto"/>
        <w:ind w:right="-1226" w:rightChars="-584" w:firstLine="3520" w:firstLineChars="8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7"/>
        <w:spacing w:line="432" w:lineRule="auto"/>
        <w:jc w:val="both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</w:rPr>
        <w:t>本《申请书》真实可信，本单位愿意在此《申请书》规定框架内实施项目，遵守委托单位的有关规定，认真开展服务工作，达到预期的目标。</w:t>
      </w:r>
    </w:p>
    <w:p>
      <w:pPr>
        <w:snapToGrid w:val="0"/>
        <w:spacing w:line="500" w:lineRule="exact"/>
        <w:ind w:firstLine="560" w:firstLineChars="2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项目负责人（签名）：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项目负责人所在单位（公章）：</w:t>
      </w:r>
    </w:p>
    <w:p>
      <w:pPr>
        <w:snapToGrid w:val="0"/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napToGrid w:val="0"/>
        <w:spacing w:line="5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28"/>
        </w:rPr>
        <w:t xml:space="preserve">    </w:t>
      </w:r>
      <w:r>
        <w:rPr>
          <w:rFonts w:hint="eastAsia" w:eastAsia="仿宋_GB2312"/>
          <w:sz w:val="28"/>
        </w:rPr>
        <w:t>日期：</w:t>
      </w:r>
      <w:r>
        <w:rPr>
          <w:rFonts w:eastAsia="仿宋_GB2312"/>
          <w:sz w:val="28"/>
        </w:rPr>
        <w:t xml:space="preserve">        </w:t>
      </w:r>
      <w:r>
        <w:rPr>
          <w:rFonts w:hint="eastAsia"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hint="eastAsia" w:eastAsia="仿宋_GB2312"/>
          <w:sz w:val="28"/>
        </w:rPr>
        <w:t>日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一、申报单位和项目负责人资料</w:t>
      </w:r>
    </w:p>
    <w:tbl>
      <w:tblPr>
        <w:tblStyle w:val="10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94"/>
        <w:gridCol w:w="1800"/>
        <w:gridCol w:w="1080"/>
        <w:gridCol w:w="900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相关资质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2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手机和电话</w:t>
            </w: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申请单位的情况说明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/>
          <w:szCs w:val="20"/>
        </w:rPr>
      </w:pPr>
      <w:r>
        <w:rPr>
          <w:rFonts w:hint="eastAsia"/>
        </w:rPr>
        <w:t>注：不够可加页。</w:t>
      </w:r>
    </w:p>
    <w:p>
      <w:pPr>
        <w:widowControl/>
        <w:jc w:val="left"/>
        <w:sectPr>
          <w:pgSz w:w="11906" w:h="16838"/>
          <w:pgMar w:top="1474" w:right="158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left="-69" w:leftChars="-33" w:right="-1226" w:rightChars="-584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二、情况介绍</w:t>
      </w:r>
    </w:p>
    <w:tbl>
      <w:tblPr>
        <w:tblStyle w:val="10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6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left="105" w:leftChars="50" w:right="105" w:rightChars="50" w:firstLine="551" w:firstLineChars="197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三、项目主要内容及实施计划</w:t>
      </w:r>
    </w:p>
    <w:tbl>
      <w:tblPr>
        <w:tblStyle w:val="10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252" w:firstLineChars="105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outlineLvl w:val="0"/>
        <w:rPr>
          <w:rFonts w:ascii="Times New Roman" w:hAnsi="Times New Roman" w:eastAsia="黑体"/>
          <w:sz w:val="28"/>
          <w:szCs w:val="28"/>
        </w:rPr>
      </w:pPr>
    </w:p>
    <w:p>
      <w:pPr>
        <w:spacing w:line="420" w:lineRule="auto"/>
        <w:ind w:right="-1226" w:rightChars="-584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四、项目经费概算</w:t>
      </w:r>
    </w:p>
    <w:tbl>
      <w:tblPr>
        <w:tblStyle w:val="10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2340"/>
        <w:gridCol w:w="145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pacing w:val="70"/>
                <w:sz w:val="24"/>
              </w:rPr>
            </w:pPr>
            <w:r>
              <w:rPr>
                <w:rFonts w:hint="eastAsia" w:eastAsia="仿宋_GB2312"/>
                <w:spacing w:val="70"/>
                <w:sz w:val="24"/>
              </w:rPr>
              <w:t>开支科目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金额（人民币</w:t>
            </w:r>
            <w:r>
              <w:rPr>
                <w:rFonts w:eastAsia="仿宋_GB2312"/>
                <w:bCs/>
                <w:sz w:val="24"/>
              </w:rPr>
              <w:t>:</w:t>
            </w:r>
            <w:r>
              <w:rPr>
                <w:rFonts w:hint="eastAsia" w:eastAsia="仿宋_GB2312"/>
                <w:bCs/>
                <w:sz w:val="24"/>
              </w:rPr>
              <w:t>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例</w:t>
            </w:r>
            <w:r>
              <w:rPr>
                <w:rFonts w:eastAsia="仿宋_GB2312"/>
                <w:bCs/>
                <w:sz w:val="24"/>
              </w:rPr>
              <w:t>(%)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备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20"/>
                <w:sz w:val="24"/>
              </w:rPr>
            </w:pPr>
            <w:r>
              <w:rPr>
                <w:rFonts w:hint="eastAsia" w:eastAsia="仿宋_GB2312"/>
                <w:spacing w:val="20"/>
                <w:sz w:val="24"/>
              </w:rPr>
              <w:t>合</w:t>
            </w:r>
            <w:r>
              <w:rPr>
                <w:rFonts w:eastAsia="仿宋_GB2312"/>
                <w:spacing w:val="20"/>
                <w:sz w:val="24"/>
              </w:rPr>
              <w:t xml:space="preserve">      </w:t>
            </w:r>
            <w:r>
              <w:rPr>
                <w:rFonts w:hint="eastAsia" w:eastAsia="仿宋_GB2312"/>
                <w:spacing w:val="20"/>
                <w:sz w:val="24"/>
              </w:rPr>
              <w:t>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spacing w:before="156" w:beforeLines="50" w:after="156" w:afterLines="50"/>
        <w:jc w:val="left"/>
        <w:outlineLvl w:val="0"/>
        <w:rPr>
          <w:rFonts w:ascii="黑体" w:hAnsi="Times New Roman" w:eastAsia="黑体"/>
          <w:b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b/>
          <w:sz w:val="28"/>
          <w:szCs w:val="28"/>
        </w:rPr>
        <w:t>审核意见</w:t>
      </w:r>
    </w:p>
    <w:tbl>
      <w:tblPr>
        <w:tblStyle w:val="10"/>
        <w:tblW w:w="90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7" w:firstLineChars="49"/>
              <w:rPr>
                <w:rFonts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120" w:firstLineChars="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after="156" w:afterLines="50"/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after="156" w:afterLine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/>
          <w:szCs w:val="20"/>
          <w:lang w:val="en-US" w:eastAsia="zh-CN"/>
        </w:rPr>
      </w:pPr>
    </w:p>
    <w:p>
      <w:bookmarkStart w:id="26" w:name="_GoBack"/>
      <w:bookmarkEnd w:id="26"/>
    </w:p>
    <w:sectPr>
      <w:headerReference r:id="rId4" w:type="default"/>
      <w:footerReference r:id="rId5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16</w:t>
    </w:r>
    <w:r>
      <w:rPr>
        <w:b/>
        <w:sz w:val="24"/>
        <w:szCs w:val="24"/>
      </w:rPr>
      <w:fldChar w:fldCharType="end"/>
    </w:r>
  </w:p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rPr>
        <w:rFonts w:hint="eastAsia"/>
      </w:rPr>
      <w:fldChar w:fldCharType="begin"/>
    </w:r>
    <w:r>
      <w:rPr>
        <w:rStyle w:val="9"/>
        <w:rFonts w:hint="eastAsia"/>
      </w:rPr>
      <w:instrText xml:space="preserve"> PAGE  </w:instrText>
    </w:r>
    <w:r>
      <w:rPr>
        <w:rFonts w:hint="eastAsia"/>
      </w:rPr>
      <w:fldChar w:fldCharType="separate"/>
    </w:r>
    <w:r>
      <w:rPr>
        <w:rStyle w:val="9"/>
      </w:rPr>
      <w:t>16</w:t>
    </w:r>
    <w:r>
      <w:rPr>
        <w:rFonts w:hint="eastAsia"/>
      </w:rPr>
      <w:fldChar w:fldCharType="end"/>
    </w:r>
  </w:p>
  <w:p>
    <w:pPr>
      <w:pStyle w:val="5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A59F1"/>
    <w:rsid w:val="537A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60" w:after="60" w:line="360" w:lineRule="auto"/>
      <w:outlineLvl w:val="2"/>
    </w:pPr>
    <w:rPr>
      <w:rFonts w:ascii="Times New Roman" w:hAnsi="Times New Roman" w:eastAsia="黑体" w:cs="Times New Roman"/>
      <w:b/>
      <w:bCs/>
      <w:sz w:val="28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before="156" w:beforeLines="50" w:line="360" w:lineRule="auto"/>
      <w:ind w:firstLine="200" w:firstLineChars="200"/>
    </w:pPr>
    <w:rPr>
      <w:sz w:val="24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2023-09-01T07:19:00Z</dcterms:created>
  <dc:creator>谢曼莹1673944446715</dc:creator>
  <cp:lastModifiedBy>谢曼莹1673944446715</cp:lastModifiedBy>
  <dcterms:modified xsi:type="dcterms:W3CDTF">2023-09-01T07:20:16Z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