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广州市农业环境与植物保护总站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委托申请书</w:t>
      </w: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  目  名  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 目 负 责 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负责人所在单位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填  表  日  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rPr>
          <w:rFonts w:hint="eastAsia"/>
          <w:sz w:val="44"/>
          <w:szCs w:val="44"/>
          <w:lang w:eastAsia="zh-CN"/>
        </w:rPr>
      </w:pPr>
    </w:p>
    <w:p/>
    <w:p>
      <w:pPr>
        <w:jc w:val="center"/>
      </w:pPr>
    </w:p>
    <w:p>
      <w:pPr>
        <w:spacing w:line="240" w:lineRule="auto"/>
        <w:ind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24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line="432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本《申请书》真实可信，本单位愿意在此《申请书》规定框架内实施项目，遵守委托单位的有关规定，为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广州市农业环境与植物保护总站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档案整理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，达到预期的目标。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项目负责人（签名）：</w:t>
      </w:r>
    </w:p>
    <w:p>
      <w:p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 年   月   日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项目负责人所在单位（公章）：</w:t>
      </w:r>
    </w:p>
    <w:p>
      <w:pPr>
        <w:snapToGrid w:val="0"/>
        <w:spacing w:line="50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  年   月   日</w:t>
      </w:r>
    </w:p>
    <w:p>
      <w:pPr>
        <w:rPr>
          <w:rFonts w:hint="eastAsia" w:eastAsia="仿宋_GB2312"/>
          <w:lang w:eastAsia="zh-CN"/>
        </w:rPr>
      </w:pPr>
    </w:p>
    <w:p/>
    <w:p/>
    <w:p>
      <w:pPr>
        <w:spacing w:line="420" w:lineRule="auto"/>
        <w:ind w:left="-69" w:leftChars="-33" w:right="-1226" w:rightChars="-584" w:firstLine="160" w:firstLineChars="5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6"/>
        <w:tblW w:w="9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35"/>
        <w:gridCol w:w="1079"/>
        <w:gridCol w:w="196"/>
        <w:gridCol w:w="1418"/>
        <w:gridCol w:w="1134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手机和电话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申请单位简介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实施方案、计划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包括项目实施的具体内容、实施方式、服务承诺等。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E4635"/>
    <w:rsid w:val="10EE72F8"/>
    <w:rsid w:val="246E4635"/>
    <w:rsid w:val="3E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2023-07-11T02:31:00Z</dcterms:created>
  <dc:creator>张剑华</dc:creator>
  <cp:lastModifiedBy>张剑华</cp:lastModifiedBy>
  <dcterms:modified xsi:type="dcterms:W3CDTF">2023-07-20T08:38:37Z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