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方正小标宋简体" w:eastAsia="方正小标宋简体"/>
          <w:color w:val="000000"/>
          <w:sz w:val="36"/>
          <w:szCs w:val="36"/>
          <w:u w:val="none"/>
        </w:rPr>
      </w:pPr>
      <w:bookmarkStart w:id="34" w:name="_GoBack"/>
      <w:r>
        <w:fldChar w:fldCharType="begin"/>
      </w:r>
      <w:r>
        <w:instrText xml:space="preserve"> HYPERLINK "http://www.gzagri.gov.cn/gzsnyj/tzgg/201804/310eb8f6b3c5472a8fa2d750b64bc3c3/files/b5e3354580ee450dbb7ad223b7788778.doc" </w:instrText>
      </w:r>
      <w:r>
        <w:fldChar w:fldCharType="separate"/>
      </w:r>
      <w:r>
        <w:rPr>
          <w:rStyle w:val="4"/>
          <w:rFonts w:hint="eastAsia" w:ascii="方正小标宋简体" w:hAnsi="微软雅黑" w:eastAsia="方正小标宋简体"/>
          <w:color w:val="000000"/>
          <w:sz w:val="36"/>
          <w:szCs w:val="36"/>
          <w:u w:val="none"/>
        </w:rPr>
        <w:t>202</w:t>
      </w:r>
      <w:r>
        <w:rPr>
          <w:rStyle w:val="4"/>
          <w:rFonts w:hint="eastAsia" w:ascii="方正小标宋简体" w:hAnsi="微软雅黑" w:eastAsia="方正小标宋简体"/>
          <w:color w:val="000000"/>
          <w:sz w:val="36"/>
          <w:szCs w:val="36"/>
          <w:u w:val="none"/>
          <w:lang w:val="en-US" w:eastAsia="zh-CN"/>
        </w:rPr>
        <w:t>3</w:t>
      </w:r>
      <w:r>
        <w:rPr>
          <w:rStyle w:val="4"/>
          <w:rFonts w:hint="eastAsia" w:ascii="方正小标宋简体" w:hAnsi="微软雅黑" w:eastAsia="方正小标宋简体"/>
          <w:color w:val="000000"/>
          <w:sz w:val="36"/>
          <w:szCs w:val="36"/>
          <w:u w:val="none"/>
        </w:rPr>
        <w:t>年广州农业电商应用推广活动服务</w:t>
      </w:r>
      <w:r>
        <w:rPr>
          <w:rFonts w:ascii="方正小标宋简体" w:hAnsi="微软雅黑" w:eastAsia="方正小标宋简体"/>
          <w:color w:val="000000"/>
          <w:sz w:val="36"/>
          <w:szCs w:val="36"/>
        </w:rPr>
        <w:fldChar w:fldCharType="end"/>
      </w:r>
      <w:r>
        <w:rPr>
          <w:rStyle w:val="4"/>
          <w:rFonts w:hint="eastAsia" w:ascii="方正小标宋简体" w:hAnsi="微软雅黑" w:eastAsia="方正小标宋简体"/>
          <w:color w:val="000000"/>
          <w:sz w:val="36"/>
          <w:szCs w:val="36"/>
          <w:u w:val="none"/>
        </w:rPr>
        <w:t>需求</w:t>
      </w:r>
    </w:p>
    <w:bookmarkEnd w:id="34"/>
    <w:p>
      <w:pPr>
        <w:ind w:firstLine="643" w:firstLineChars="200"/>
        <w:rPr>
          <w:rFonts w:hint="eastAsia" w:ascii="楷体_GB2312" w:hAnsi="仿宋" w:eastAsia="楷体_GB2312"/>
          <w:b/>
          <w:sz w:val="32"/>
          <w:szCs w:val="32"/>
          <w:highlight w:val="white"/>
        </w:rPr>
      </w:pPr>
    </w:p>
    <w:p>
      <w:pPr>
        <w:ind w:firstLine="643" w:firstLineChars="200"/>
        <w:rPr>
          <w:rFonts w:ascii="楷体_GB2312" w:hAnsi="仿宋" w:eastAsia="楷体_GB2312"/>
          <w:b/>
          <w:sz w:val="32"/>
          <w:szCs w:val="32"/>
        </w:rPr>
      </w:pPr>
      <w:r>
        <w:rPr>
          <w:rFonts w:hint="eastAsia" w:ascii="楷体_GB2312" w:hAnsi="仿宋" w:eastAsia="楷体_GB2312"/>
          <w:b/>
          <w:sz w:val="32"/>
          <w:szCs w:val="32"/>
          <w:highlight w:val="white"/>
        </w:rPr>
        <w:t>一、投标人资格要求</w:t>
      </w:r>
    </w:p>
    <w:p>
      <w:pPr>
        <w:ind w:firstLine="640" w:firstLineChars="200"/>
        <w:rPr>
          <w:rFonts w:ascii="仿宋" w:hAnsi="仿宋" w:eastAsia="仿宋"/>
          <w:sz w:val="32"/>
          <w:szCs w:val="32"/>
          <w:highlight w:val="green"/>
        </w:rPr>
      </w:pPr>
      <w:bookmarkStart w:id="0" w:name="EBef56cf8a3e2f4dd4bcf9d81e04fbecbd"/>
      <w:bookmarkStart w:id="1" w:name="_Toc457982242"/>
      <w:bookmarkStart w:id="2" w:name="_Toc457815845"/>
      <w:r>
        <w:rPr>
          <w:rFonts w:ascii="仿宋" w:hAnsi="仿宋" w:eastAsia="仿宋"/>
          <w:sz w:val="32"/>
          <w:szCs w:val="32"/>
          <w:highlight w:val="white"/>
        </w:rPr>
        <w:t>（一）符合《政府采购法》第二十二条所规定的条件；分公司投标的，必须由具有法人资格的总公司授权。</w:t>
      </w:r>
    </w:p>
    <w:p>
      <w:pPr>
        <w:ind w:firstLine="640" w:firstLineChars="200"/>
        <w:rPr>
          <w:rFonts w:ascii="仿宋" w:hAnsi="仿宋" w:eastAsia="仿宋"/>
          <w:sz w:val="32"/>
          <w:szCs w:val="32"/>
          <w:highlight w:val="green"/>
        </w:rPr>
      </w:pPr>
      <w:r>
        <w:rPr>
          <w:rFonts w:ascii="仿宋" w:hAnsi="仿宋" w:eastAsia="仿宋"/>
          <w:sz w:val="32"/>
          <w:szCs w:val="32"/>
          <w:highlight w:val="white"/>
        </w:rPr>
        <w:t>（二）本项目</w:t>
      </w:r>
      <w:r>
        <w:rPr>
          <w:rFonts w:hint="eastAsia" w:ascii="仿宋" w:hAnsi="仿宋" w:eastAsia="仿宋"/>
          <w:sz w:val="32"/>
          <w:szCs w:val="32"/>
          <w:highlight w:val="white"/>
        </w:rPr>
        <w:t>可</w:t>
      </w:r>
      <w:r>
        <w:rPr>
          <w:rFonts w:ascii="仿宋" w:hAnsi="仿宋" w:eastAsia="仿宋"/>
          <w:sz w:val="32"/>
          <w:szCs w:val="32"/>
          <w:highlight w:val="white"/>
        </w:rPr>
        <w:t>接受</w:t>
      </w:r>
      <w:r>
        <w:rPr>
          <w:rFonts w:hint="eastAsia" w:ascii="仿宋" w:hAnsi="仿宋" w:eastAsia="仿宋"/>
          <w:sz w:val="32"/>
          <w:szCs w:val="32"/>
          <w:highlight w:val="white"/>
        </w:rPr>
        <w:t>符合国家政策、工商行政、民政等主管部门许可成立的社会组织</w:t>
      </w:r>
      <w:r>
        <w:rPr>
          <w:rFonts w:ascii="仿宋" w:hAnsi="仿宋" w:eastAsia="仿宋"/>
          <w:sz w:val="32"/>
          <w:szCs w:val="32"/>
          <w:highlight w:val="white"/>
        </w:rPr>
        <w:t>投标。</w:t>
      </w:r>
    </w:p>
    <w:bookmarkEnd w:id="0"/>
    <w:p>
      <w:pPr>
        <w:ind w:firstLine="643" w:firstLineChars="200"/>
        <w:rPr>
          <w:rFonts w:ascii="楷体_GB2312" w:hAnsi="仿宋" w:eastAsia="楷体_GB2312"/>
          <w:b/>
          <w:sz w:val="32"/>
          <w:szCs w:val="32"/>
          <w:highlight w:val="white"/>
        </w:rPr>
      </w:pPr>
      <w:r>
        <w:rPr>
          <w:rFonts w:hint="eastAsia" w:ascii="楷体_GB2312" w:hAnsi="仿宋" w:eastAsia="楷体_GB2312"/>
          <w:b/>
          <w:sz w:val="32"/>
          <w:szCs w:val="32"/>
          <w:highlight w:val="white"/>
        </w:rPr>
        <w:t>二、项目服务要求</w:t>
      </w:r>
      <w:bookmarkEnd w:id="1"/>
      <w:bookmarkEnd w:id="2"/>
    </w:p>
    <w:p>
      <w:pPr>
        <w:ind w:firstLine="630" w:firstLineChars="196"/>
        <w:rPr>
          <w:rFonts w:ascii="仿宋_GB2312" w:hAnsi="仿宋" w:eastAsia="仿宋_GB2312"/>
          <w:b/>
          <w:sz w:val="32"/>
          <w:szCs w:val="32"/>
          <w:highlight w:val="white"/>
        </w:rPr>
      </w:pPr>
      <w:bookmarkStart w:id="3" w:name="_Toc457815846"/>
      <w:bookmarkStart w:id="4" w:name="_Toc457982243"/>
      <w:r>
        <w:rPr>
          <w:rFonts w:hint="eastAsia" w:ascii="仿宋_GB2312" w:hAnsi="仿宋" w:eastAsia="仿宋_GB2312"/>
          <w:b/>
          <w:sz w:val="32"/>
          <w:szCs w:val="32"/>
          <w:highlight w:val="white"/>
        </w:rPr>
        <w:t>（一）服务要求</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highlight w:val="white"/>
          <w:lang w:val="en-US" w:eastAsia="zh-CN"/>
        </w:rPr>
        <w:t>1.</w:t>
      </w:r>
      <w:r>
        <w:rPr>
          <w:rFonts w:hint="eastAsia" w:ascii="仿宋_GB2312" w:hAnsi="仿宋" w:eastAsia="仿宋_GB2312"/>
          <w:b/>
          <w:sz w:val="32"/>
          <w:szCs w:val="32"/>
          <w:highlight w:val="white"/>
        </w:rPr>
        <w:t>工作内容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在业主指导下，根据我市农业电子商务现状与需求进行应用推广活动方案设计，时间安排以及进行费用估算等，开展后续的应用推广活动工作。具体工作包括以下内容：</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编制广州农业电商应用推广活动服务项目方案及项目费用概算。提供相对较优的活动服务方案，从项目要求、组织宣传、总体设计、等多方面进行充分阐述。对该项目方案的服务内容进行费用估算，对项目费用进行实际且充分的估算并对项目的经济效益和社会效益两个方面进行分析和阐述。</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根据不同需求，编制广州农业电商专题教材或相关材料。</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在业主的指导下负责完成应用推广活动的组织和实施工作。</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rPr>
        <w:t>编制应用推广活动工作总结，对项目成效进行深入分析，为今后的应用推广提供建议。</w:t>
      </w:r>
    </w:p>
    <w:p>
      <w:pPr>
        <w:ind w:firstLine="630" w:firstLineChars="196"/>
        <w:rPr>
          <w:rFonts w:ascii="仿宋_GB2312" w:hAnsi="仿宋" w:eastAsia="仿宋_GB2312"/>
          <w:b/>
          <w:sz w:val="32"/>
          <w:szCs w:val="32"/>
          <w:highlight w:val="white"/>
        </w:rPr>
      </w:pPr>
      <w:bookmarkStart w:id="5" w:name="_Toc475540371"/>
      <w:r>
        <w:rPr>
          <w:rFonts w:hint="eastAsia" w:ascii="仿宋_GB2312" w:hAnsi="仿宋" w:eastAsia="仿宋_GB2312"/>
          <w:b/>
          <w:sz w:val="32"/>
          <w:szCs w:val="32"/>
          <w:lang w:val="en-US" w:eastAsia="zh-CN"/>
        </w:rPr>
        <w:t>2.</w:t>
      </w:r>
      <w:r>
        <w:rPr>
          <w:rFonts w:hint="eastAsia" w:ascii="仿宋_GB2312" w:hAnsi="仿宋" w:eastAsia="仿宋_GB2312"/>
          <w:b/>
          <w:sz w:val="32"/>
          <w:szCs w:val="32"/>
          <w:highlight w:val="white"/>
        </w:rPr>
        <w:t>工作目标</w:t>
      </w:r>
      <w:bookmarkEnd w:id="5"/>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完整性：方案必须是完整的，包括投标人实施项目工作的方方面面，并具备可操作性和可实施性。</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系统性：方案需要考虑活动方式与我市农业</w:t>
      </w:r>
      <w:r>
        <w:rPr>
          <w:rFonts w:hint="eastAsia" w:ascii="仿宋_GB2312" w:hAnsi="仿宋" w:eastAsia="仿宋_GB2312"/>
          <w:sz w:val="32"/>
          <w:szCs w:val="32"/>
          <w:lang w:eastAsia="zh-CN"/>
        </w:rPr>
        <w:t>电商发展</w:t>
      </w:r>
      <w:r>
        <w:rPr>
          <w:rFonts w:hint="eastAsia" w:ascii="仿宋_GB2312" w:hAnsi="仿宋" w:eastAsia="仿宋_GB2312"/>
          <w:sz w:val="32"/>
          <w:szCs w:val="32"/>
        </w:rPr>
        <w:t>实际</w:t>
      </w:r>
      <w:r>
        <w:rPr>
          <w:rFonts w:hint="eastAsia" w:ascii="仿宋_GB2312" w:hAnsi="仿宋" w:eastAsia="仿宋_GB2312"/>
          <w:sz w:val="32"/>
          <w:szCs w:val="32"/>
          <w:lang w:eastAsia="zh-CN"/>
        </w:rPr>
        <w:t>需求</w:t>
      </w:r>
      <w:r>
        <w:rPr>
          <w:rFonts w:hint="eastAsia" w:ascii="仿宋_GB2312" w:hAnsi="仿宋" w:eastAsia="仿宋_GB2312"/>
          <w:sz w:val="32"/>
          <w:szCs w:val="32"/>
        </w:rPr>
        <w:t>情况之间的逻辑关系，需要考虑通过哪种形式才能让受众接受，哪些实际经验可形成共性的借鉴，哪些是需要进一步优化的。</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前瞻性：方案必须能提前遇见问题，及早规避问题。 </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rPr>
        <w:t>实用性：应用推广活动的内容需从我市农业实际情况出发，确保内容能融入实践技能和操作经验的总结和归纳，有较强的实用性。</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全局性：方案需使整个服务项目达到合理、可行、经济的目的。</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规范性：方案严格按照国家相关规定和标准来运作，需求必须遵循实际。</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highlight w:val="white"/>
        </w:rPr>
        <w:t>项目成果要求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具体成果要求如下：</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项目相关需求调研报告。</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项目活动方案及应用推广课程或相关稿件等材料。</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项目总结分析报告。</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highlight w:val="white"/>
        </w:rPr>
        <w:t>项目安全保密要求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本项目要求投标人：</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按照国家、省市的有关法律法规文件规定，要求投标人履行保密责任，并遵守合同中有关保密要求；</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投标人各级组织严格履行保密职责；</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按照保密规定开展工作。</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highlight w:val="white"/>
        </w:rPr>
        <w:t>项目实施单位考核要求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业主单位对投标人开展相关工作实行严格的服务质量考核，对其工作质量进行评价考核监督。考核内容包括但不限于以下要点：人员的工作态度、进度管理、服务成果、协调能力、遵章守纪等方面，由项目实施单位自评及业主单位指定人员对项目实施单位进行考核。</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highlight w:val="white"/>
        </w:rPr>
        <w:t>（二）项目服务实施管理要求</w:t>
      </w:r>
      <w:bookmarkEnd w:id="3"/>
      <w:bookmarkEnd w:id="4"/>
    </w:p>
    <w:p>
      <w:pPr>
        <w:ind w:firstLine="630" w:firstLineChars="196"/>
        <w:rPr>
          <w:rFonts w:ascii="仿宋_GB2312" w:hAnsi="仿宋" w:eastAsia="仿宋_GB2312"/>
          <w:b/>
          <w:sz w:val="32"/>
          <w:szCs w:val="32"/>
          <w:highlight w:val="white"/>
        </w:rPr>
      </w:pPr>
      <w:bookmarkStart w:id="6" w:name="_Toc457982244"/>
      <w:bookmarkStart w:id="7" w:name="_Toc457815847"/>
      <w:r>
        <w:rPr>
          <w:rFonts w:hint="eastAsia" w:ascii="仿宋_GB2312" w:hAnsi="仿宋" w:eastAsia="仿宋_GB2312"/>
          <w:b/>
          <w:sz w:val="32"/>
          <w:szCs w:val="32"/>
          <w:lang w:val="en-US" w:eastAsia="zh-CN"/>
        </w:rPr>
        <w:t>1.</w:t>
      </w:r>
      <w:r>
        <w:rPr>
          <w:rFonts w:hint="eastAsia" w:ascii="仿宋_GB2312" w:hAnsi="仿宋" w:eastAsia="仿宋_GB2312"/>
          <w:b/>
          <w:sz w:val="32"/>
          <w:szCs w:val="32"/>
          <w:highlight w:val="white"/>
        </w:rPr>
        <w:t>项目组织与人员要求</w:t>
      </w:r>
      <w:bookmarkEnd w:id="6"/>
      <w:bookmarkEnd w:id="7"/>
    </w:p>
    <w:p>
      <w:pPr>
        <w:ind w:firstLine="640" w:firstLineChars="200"/>
        <w:rPr>
          <w:rFonts w:ascii="仿宋_GB2312" w:hAnsi="仿宋" w:eastAsia="仿宋_GB2312"/>
          <w:sz w:val="32"/>
          <w:szCs w:val="32"/>
        </w:rPr>
      </w:pPr>
      <w:bookmarkStart w:id="8" w:name="_Toc397874212"/>
      <w:bookmarkStart w:id="9" w:name="_Toc2937"/>
      <w:bookmarkStart w:id="10" w:name="_Toc353293602"/>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项目组织</w:t>
      </w:r>
    </w:p>
    <w:p>
      <w:pPr>
        <w:ind w:firstLine="640" w:firstLineChars="200"/>
        <w:rPr>
          <w:rFonts w:ascii="仿宋_GB2312" w:hAnsi="仿宋" w:eastAsia="仿宋_GB2312"/>
          <w:sz w:val="32"/>
          <w:szCs w:val="32"/>
        </w:rPr>
      </w:pPr>
      <w:r>
        <w:rPr>
          <w:rFonts w:hint="eastAsia" w:ascii="仿宋_GB2312" w:hAnsi="仿宋" w:eastAsia="仿宋_GB2312"/>
          <w:sz w:val="32"/>
          <w:szCs w:val="32"/>
        </w:rPr>
        <w:t>为保障项目按质、按量、按时及有序实施，投标人应承诺对本项目须建立一个完善和稳定的项目团队、管理机构及执行流程。</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人员配备要求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在整个合同执行期间，如果项目组无法胜任项目工作要求，项目业主单位有权要求投标人调换项目主要人员，投标人应无条件接受。专题讲师必须是从事涉农电子商务行业或相关领域专家，</w:t>
      </w:r>
      <w:bookmarkStart w:id="11" w:name="_Toc108866334"/>
      <w:r>
        <w:rPr>
          <w:rFonts w:hint="eastAsia" w:ascii="仿宋_GB2312" w:hAnsi="仿宋" w:eastAsia="仿宋_GB2312"/>
          <w:sz w:val="32"/>
          <w:szCs w:val="32"/>
        </w:rPr>
        <w:t>具有农业电商专题授课、农业电商运营或农业行业专项调研工作经验。</w:t>
      </w:r>
      <w:bookmarkEnd w:id="11"/>
      <w:r>
        <w:rPr>
          <w:rFonts w:hint="eastAsia" w:ascii="仿宋_GB2312" w:hAnsi="仿宋" w:eastAsia="仿宋_GB2312"/>
          <w:sz w:val="32"/>
          <w:szCs w:val="32"/>
        </w:rPr>
        <w:t>咨询服务单位若需更换应用推广活动团队人员的，必须提前10个工作日书面报业主单位批准后方可更换。原则上不允许中途更换项目负责人。</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调整原则</w:t>
      </w:r>
    </w:p>
    <w:p>
      <w:pPr>
        <w:ind w:firstLine="640" w:firstLineChars="200"/>
        <w:rPr>
          <w:rFonts w:ascii="仿宋_GB2312" w:hAnsi="仿宋" w:eastAsia="仿宋_GB2312"/>
          <w:sz w:val="32"/>
          <w:szCs w:val="32"/>
        </w:rPr>
      </w:pPr>
      <w:r>
        <w:rPr>
          <w:rFonts w:hint="eastAsia" w:ascii="仿宋_GB2312" w:hAnsi="仿宋" w:eastAsia="仿宋_GB2312"/>
          <w:sz w:val="32"/>
          <w:szCs w:val="32"/>
        </w:rPr>
        <w:t>在服务期内，投标人承诺的团队主要人员未经用户同意不得调整；投标人如中途更换相关人员，应征得用户同意。</w:t>
      </w:r>
    </w:p>
    <w:p>
      <w:pPr>
        <w:ind w:firstLine="630" w:firstLineChars="196"/>
        <w:rPr>
          <w:rFonts w:ascii="仿宋_GB2312" w:hAnsi="仿宋" w:eastAsia="仿宋_GB2312"/>
          <w:b/>
          <w:sz w:val="32"/>
          <w:szCs w:val="32"/>
          <w:highlight w:val="white"/>
        </w:rPr>
      </w:pPr>
      <w:bookmarkStart w:id="12" w:name="_Toc457982245"/>
      <w:bookmarkStart w:id="13" w:name="_Toc457815848"/>
      <w:r>
        <w:rPr>
          <w:rFonts w:hint="eastAsia" w:ascii="仿宋_GB2312" w:hAnsi="仿宋" w:eastAsia="仿宋_GB2312"/>
          <w:b/>
          <w:sz w:val="32"/>
          <w:szCs w:val="32"/>
          <w:lang w:val="en-US" w:eastAsia="zh-CN"/>
        </w:rPr>
        <w:t>2.</w:t>
      </w:r>
      <w:r>
        <w:rPr>
          <w:rFonts w:hint="eastAsia" w:ascii="仿宋_GB2312" w:hAnsi="仿宋" w:eastAsia="仿宋_GB2312"/>
          <w:b/>
          <w:sz w:val="32"/>
          <w:szCs w:val="32"/>
          <w:highlight w:val="white"/>
        </w:rPr>
        <w:t>实施与计划</w:t>
      </w:r>
      <w:bookmarkEnd w:id="8"/>
      <w:bookmarkEnd w:id="9"/>
      <w:bookmarkEnd w:id="10"/>
      <w:bookmarkEnd w:id="12"/>
      <w:bookmarkEnd w:id="13"/>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投标人应根据招标文件服务需求及服务部分的要求，详细叙述拟提供服务方案情况。投标人提出的本项目服务方案应包括：</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方案优化：投标人需要通过对本项目深刻理解和充分的需求分析，提供具体的方案。</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在整个合同执行期间，项目的组织、实施、服务、质量等方面关乎项目效果的内容，接受项目发布单位的组织的监督、考核，考核结果不及格的，项目发布单位有权不组织验收、延期付款，相关责任由投标方承担，投标人应无条件接受。</w:t>
      </w:r>
    </w:p>
    <w:p>
      <w:pPr>
        <w:ind w:firstLine="630" w:firstLineChars="196"/>
        <w:rPr>
          <w:rFonts w:ascii="仿宋_GB2312" w:hAnsi="仿宋" w:eastAsia="仿宋_GB2312"/>
          <w:b/>
          <w:sz w:val="32"/>
          <w:szCs w:val="32"/>
          <w:highlight w:val="white"/>
        </w:rPr>
      </w:pPr>
      <w:bookmarkStart w:id="14" w:name="_Toc457982247"/>
      <w:bookmarkStart w:id="15" w:name="_Toc397874214"/>
      <w:bookmarkStart w:id="16" w:name="_Toc457815850"/>
      <w:bookmarkStart w:id="17" w:name="_Toc31828"/>
      <w:bookmarkStart w:id="18" w:name="_Toc180402932"/>
      <w:bookmarkStart w:id="19" w:name="_Toc180402471"/>
      <w:r>
        <w:rPr>
          <w:rFonts w:hint="eastAsia" w:ascii="仿宋_GB2312" w:hAnsi="仿宋" w:eastAsia="仿宋_GB2312"/>
          <w:b/>
          <w:sz w:val="32"/>
          <w:szCs w:val="32"/>
          <w:lang w:val="en-US" w:eastAsia="zh-CN"/>
        </w:rPr>
        <w:t>3.</w:t>
      </w:r>
      <w:r>
        <w:rPr>
          <w:rFonts w:hint="eastAsia" w:ascii="仿宋_GB2312" w:hAnsi="仿宋" w:eastAsia="仿宋_GB2312"/>
          <w:b/>
          <w:sz w:val="32"/>
          <w:szCs w:val="32"/>
          <w:highlight w:val="white"/>
        </w:rPr>
        <w:t>项目文档要求</w:t>
      </w:r>
      <w:bookmarkEnd w:id="14"/>
      <w:bookmarkEnd w:id="15"/>
      <w:bookmarkEnd w:id="16"/>
      <w:bookmarkEnd w:id="17"/>
      <w:bookmarkEnd w:id="18"/>
      <w:bookmarkEnd w:id="19"/>
    </w:p>
    <w:p>
      <w:pPr>
        <w:ind w:firstLine="640" w:firstLineChars="200"/>
        <w:rPr>
          <w:rFonts w:ascii="仿宋_GB2312" w:hAnsi="仿宋" w:eastAsia="仿宋_GB2312"/>
          <w:sz w:val="32"/>
          <w:szCs w:val="32"/>
        </w:rPr>
      </w:pPr>
      <w:r>
        <w:rPr>
          <w:rFonts w:hint="eastAsia" w:ascii="仿宋_GB2312" w:hAnsi="仿宋" w:eastAsia="仿宋_GB2312"/>
          <w:sz w:val="32"/>
          <w:szCs w:val="32"/>
        </w:rPr>
        <w:t>投标人应根据项目进展和合同要求，按时提供相关文档及成果资料。文档必须满足项目方的要求。</w:t>
      </w:r>
    </w:p>
    <w:p>
      <w:pPr>
        <w:ind w:firstLine="630" w:firstLineChars="196"/>
        <w:rPr>
          <w:rFonts w:ascii="仿宋_GB2312" w:hAnsi="仿宋" w:eastAsia="仿宋_GB2312"/>
          <w:b/>
          <w:sz w:val="32"/>
          <w:szCs w:val="32"/>
          <w:highlight w:val="white"/>
        </w:rPr>
      </w:pPr>
      <w:bookmarkStart w:id="20" w:name="_Toc457815851"/>
      <w:bookmarkStart w:id="21" w:name="_Toc457982248"/>
      <w:bookmarkStart w:id="22" w:name="_Toc397874216"/>
      <w:bookmarkStart w:id="23" w:name="_Toc318855562"/>
      <w:bookmarkStart w:id="24" w:name="_Toc325631995"/>
      <w:bookmarkStart w:id="25" w:name="_Toc10526"/>
      <w:bookmarkStart w:id="26" w:name="_Toc325546968"/>
      <w:bookmarkStart w:id="27" w:name="_Toc326227480"/>
      <w:r>
        <w:rPr>
          <w:rFonts w:hint="eastAsia" w:ascii="仿宋_GB2312" w:hAnsi="仿宋" w:eastAsia="仿宋_GB2312"/>
          <w:b/>
          <w:sz w:val="32"/>
          <w:szCs w:val="32"/>
          <w:lang w:val="en-US" w:eastAsia="zh-CN"/>
        </w:rPr>
        <w:t>4.</w:t>
      </w:r>
      <w:r>
        <w:rPr>
          <w:rFonts w:hint="eastAsia" w:ascii="仿宋_GB2312" w:hAnsi="仿宋" w:eastAsia="仿宋_GB2312"/>
          <w:b/>
          <w:sz w:val="32"/>
          <w:szCs w:val="32"/>
          <w:highlight w:val="white"/>
        </w:rPr>
        <w:t>知识产权要求</w:t>
      </w:r>
      <w:bookmarkEnd w:id="20"/>
      <w:bookmarkEnd w:id="21"/>
    </w:p>
    <w:p>
      <w:pPr>
        <w:ind w:firstLine="627" w:firstLineChars="196"/>
        <w:rPr>
          <w:rFonts w:ascii="仿宋" w:hAnsi="仿宋" w:eastAsia="仿宋"/>
          <w:b/>
          <w:sz w:val="32"/>
          <w:szCs w:val="32"/>
          <w:highlight w:val="white"/>
        </w:rPr>
      </w:pPr>
      <w:r>
        <w:rPr>
          <w:rFonts w:hint="eastAsia" w:ascii="仿宋_GB2312" w:hAnsi="仿宋" w:eastAsia="仿宋_GB2312"/>
          <w:sz w:val="32"/>
          <w:szCs w:val="32"/>
        </w:rPr>
        <w:t>投标人应保证在本项目使用的任何服务（包括部分使用）时，不会产生因第三方提出侵犯其专利权、商标权、著作权或其它知识产权而引起的法律和经济纠纷，如因专利权、商标权或其它知识产权而引起法律和经济纠纷，由投标人承担所有相关责任的同时不得耽误本项目实施进度。</w:t>
      </w:r>
      <w:bookmarkEnd w:id="22"/>
      <w:bookmarkEnd w:id="23"/>
      <w:bookmarkEnd w:id="24"/>
      <w:bookmarkEnd w:id="25"/>
      <w:bookmarkEnd w:id="26"/>
      <w:bookmarkEnd w:id="27"/>
    </w:p>
    <w:p>
      <w:pPr>
        <w:ind w:firstLine="643" w:firstLineChars="200"/>
        <w:rPr>
          <w:rFonts w:ascii="楷体_GB2312" w:hAnsi="仿宋" w:eastAsia="楷体_GB2312"/>
          <w:b/>
          <w:sz w:val="32"/>
          <w:szCs w:val="32"/>
          <w:highlight w:val="white"/>
        </w:rPr>
      </w:pPr>
      <w:r>
        <w:rPr>
          <w:rFonts w:hint="eastAsia" w:ascii="楷体_GB2312" w:hAnsi="仿宋" w:eastAsia="楷体_GB2312"/>
          <w:b/>
          <w:sz w:val="32"/>
          <w:szCs w:val="32"/>
          <w:highlight w:val="white"/>
        </w:rPr>
        <w:t>三、评标方案</w:t>
      </w:r>
    </w:p>
    <w:p>
      <w:pPr>
        <w:ind w:firstLine="643" w:firstLineChars="200"/>
        <w:rPr>
          <w:rFonts w:ascii="仿宋_GB2312" w:hAnsi="仿宋" w:eastAsia="仿宋_GB2312"/>
          <w:sz w:val="32"/>
          <w:szCs w:val="32"/>
        </w:rPr>
      </w:pPr>
      <w:r>
        <w:rPr>
          <w:rFonts w:hint="eastAsia" w:ascii="仿宋_GB2312" w:hAnsi="仿宋" w:eastAsia="仿宋_GB2312"/>
          <w:b/>
          <w:sz w:val="32"/>
          <w:szCs w:val="32"/>
        </w:rPr>
        <w:t>（一）</w:t>
      </w:r>
      <w:r>
        <w:rPr>
          <w:rFonts w:hint="eastAsia" w:ascii="仿宋_GB2312" w:hAnsi="仿宋" w:eastAsia="仿宋_GB2312"/>
          <w:sz w:val="32"/>
          <w:szCs w:val="32"/>
        </w:rPr>
        <w:t>本项目采用综合评分法</w:t>
      </w:r>
    </w:p>
    <w:p>
      <w:pPr>
        <w:ind w:firstLine="643" w:firstLineChars="200"/>
        <w:rPr>
          <w:rFonts w:ascii="仿宋_GB2312" w:hAnsi="仿宋" w:eastAsia="仿宋_GB2312"/>
          <w:sz w:val="32"/>
          <w:szCs w:val="32"/>
        </w:rPr>
      </w:pPr>
      <w:r>
        <w:rPr>
          <w:rFonts w:hint="eastAsia" w:ascii="仿宋_GB2312" w:hAnsi="仿宋" w:eastAsia="仿宋_GB2312"/>
          <w:b/>
          <w:sz w:val="32"/>
          <w:szCs w:val="32"/>
        </w:rPr>
        <w:t>（二）中标依据：</w:t>
      </w:r>
      <w:r>
        <w:rPr>
          <w:rFonts w:hint="eastAsia" w:ascii="仿宋_GB2312" w:hAnsi="仿宋" w:eastAsia="仿宋_GB2312"/>
          <w:sz w:val="32"/>
          <w:szCs w:val="32"/>
        </w:rPr>
        <w:t>在不高于最高限价的前提下，综合评估分最高的为中标候选人。</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（三）技术部分响应性评定</w:t>
      </w:r>
    </w:p>
    <w:p>
      <w:pPr>
        <w:ind w:firstLine="640" w:firstLineChars="200"/>
        <w:rPr>
          <w:rFonts w:ascii="仿宋_GB2312" w:hAnsi="仿宋" w:eastAsia="仿宋_GB2312"/>
          <w:sz w:val="32"/>
          <w:szCs w:val="32"/>
        </w:rPr>
      </w:pPr>
      <w:r>
        <w:rPr>
          <w:rFonts w:hint="eastAsia" w:ascii="仿宋_GB2312" w:hAnsi="仿宋" w:eastAsia="仿宋_GB2312"/>
          <w:sz w:val="32"/>
          <w:szCs w:val="32"/>
        </w:rPr>
        <w:t>1．由评标委员会对所有投标文件的技术部分的响应进行审核和分析；</w:t>
      </w:r>
    </w:p>
    <w:p>
      <w:pPr>
        <w:ind w:firstLine="640" w:firstLineChars="200"/>
        <w:rPr>
          <w:rFonts w:ascii="仿宋_GB2312" w:hAnsi="仿宋" w:eastAsia="仿宋_GB2312"/>
          <w:sz w:val="32"/>
          <w:szCs w:val="32"/>
        </w:rPr>
      </w:pPr>
      <w:r>
        <w:rPr>
          <w:rFonts w:hint="eastAsia" w:ascii="仿宋_GB2312" w:hAnsi="仿宋" w:eastAsia="仿宋_GB2312"/>
          <w:sz w:val="32"/>
          <w:szCs w:val="32"/>
        </w:rPr>
        <w:t>2．评委独立进行文字评价和评分，填写“技术部分响应评分表”；</w:t>
      </w:r>
    </w:p>
    <w:p>
      <w:pPr>
        <w:ind w:firstLine="640" w:firstLineChars="200"/>
        <w:rPr>
          <w:rFonts w:ascii="仿宋_GB2312" w:hAnsi="仿宋" w:eastAsia="仿宋_GB2312"/>
          <w:sz w:val="32"/>
          <w:szCs w:val="32"/>
        </w:rPr>
      </w:pPr>
      <w:r>
        <w:rPr>
          <w:rFonts w:hint="eastAsia" w:ascii="仿宋_GB2312" w:hAnsi="仿宋" w:eastAsia="仿宋_GB2312"/>
          <w:sz w:val="32"/>
          <w:szCs w:val="32"/>
        </w:rPr>
        <w:t>3．评分标准：按照单项分值，按评估等级计算得分（特别说明除外）；</w:t>
      </w:r>
    </w:p>
    <w:p>
      <w:pPr>
        <w:ind w:firstLine="640" w:firstLineChars="200"/>
        <w:rPr>
          <w:rFonts w:ascii="仿宋_GB2312" w:hAnsi="仿宋" w:eastAsia="仿宋_GB2312"/>
          <w:sz w:val="32"/>
          <w:szCs w:val="32"/>
        </w:rPr>
      </w:pPr>
      <w:r>
        <w:rPr>
          <w:rFonts w:hint="eastAsia" w:ascii="仿宋_GB2312" w:hAnsi="仿宋" w:eastAsia="仿宋_GB2312"/>
          <w:sz w:val="32"/>
          <w:szCs w:val="32"/>
        </w:rPr>
        <w:t>4．将每一个评委的评分汇总后，进行算术平均（精确到小数点后两位），得出该投标人的技术得分。</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（四）商务部分响应性评估</w:t>
      </w:r>
    </w:p>
    <w:p>
      <w:pPr>
        <w:ind w:firstLine="640" w:firstLineChars="200"/>
        <w:rPr>
          <w:rFonts w:ascii="仿宋_GB2312" w:hAnsi="仿宋" w:eastAsia="仿宋_GB2312"/>
          <w:sz w:val="32"/>
          <w:szCs w:val="32"/>
        </w:rPr>
      </w:pPr>
      <w:r>
        <w:rPr>
          <w:rFonts w:hint="eastAsia" w:ascii="仿宋_GB2312" w:hAnsi="仿宋" w:eastAsia="仿宋_GB2312"/>
          <w:sz w:val="32"/>
          <w:szCs w:val="32"/>
        </w:rPr>
        <w:t>1．由评标委员会对所有投标文件的商务部分的响应进行审核和分析；</w:t>
      </w:r>
    </w:p>
    <w:p>
      <w:pPr>
        <w:ind w:firstLine="640" w:firstLineChars="200"/>
        <w:rPr>
          <w:rFonts w:ascii="仿宋_GB2312" w:hAnsi="仿宋" w:eastAsia="仿宋_GB2312"/>
          <w:sz w:val="32"/>
          <w:szCs w:val="32"/>
        </w:rPr>
      </w:pPr>
      <w:r>
        <w:rPr>
          <w:rFonts w:hint="eastAsia" w:ascii="仿宋_GB2312" w:hAnsi="仿宋" w:eastAsia="仿宋_GB2312"/>
          <w:sz w:val="32"/>
          <w:szCs w:val="32"/>
        </w:rPr>
        <w:t>2．评委独立进行文字评价和评分，填写“商务部分响应评分表”；</w:t>
      </w:r>
    </w:p>
    <w:p>
      <w:pPr>
        <w:ind w:firstLine="640" w:firstLineChars="200"/>
        <w:rPr>
          <w:rFonts w:ascii="仿宋_GB2312" w:hAnsi="仿宋" w:eastAsia="仿宋_GB2312"/>
          <w:sz w:val="32"/>
          <w:szCs w:val="32"/>
        </w:rPr>
      </w:pPr>
      <w:r>
        <w:rPr>
          <w:rFonts w:hint="eastAsia" w:ascii="仿宋_GB2312" w:hAnsi="仿宋" w:eastAsia="仿宋_GB2312"/>
          <w:sz w:val="32"/>
          <w:szCs w:val="32"/>
        </w:rPr>
        <w:t>3．评分标准：按照单项分值，按评估等级计算得分（特别说明除外）；</w:t>
      </w:r>
    </w:p>
    <w:p>
      <w:pPr>
        <w:ind w:firstLine="640" w:firstLineChars="200"/>
        <w:rPr>
          <w:rFonts w:ascii="仿宋_GB2312" w:hAnsi="仿宋" w:eastAsia="仿宋_GB2312"/>
          <w:sz w:val="32"/>
          <w:szCs w:val="32"/>
        </w:rPr>
      </w:pPr>
      <w:r>
        <w:rPr>
          <w:rFonts w:hint="eastAsia" w:ascii="仿宋_GB2312" w:hAnsi="仿宋" w:eastAsia="仿宋_GB2312"/>
          <w:sz w:val="32"/>
          <w:szCs w:val="32"/>
        </w:rPr>
        <w:t>4．将每一个评委的评分汇总后，进行算术平均（精确到小数点后两位），得出该投标人的商务得分。</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（五）价格响应性评估</w:t>
      </w:r>
    </w:p>
    <w:p>
      <w:pPr>
        <w:ind w:firstLine="640" w:firstLineChars="200"/>
        <w:rPr>
          <w:rFonts w:ascii="仿宋_GB2312" w:hAnsi="仿宋" w:eastAsia="仿宋_GB2312"/>
          <w:sz w:val="32"/>
          <w:szCs w:val="32"/>
        </w:rPr>
      </w:pPr>
      <w:r>
        <w:rPr>
          <w:rFonts w:hint="eastAsia" w:ascii="仿宋_GB2312" w:hAnsi="仿宋" w:eastAsia="仿宋_GB2312"/>
          <w:sz w:val="32"/>
          <w:szCs w:val="32"/>
        </w:rPr>
        <w:t>1．由评标委员会对所有投标文件的价格部分的响应进行审核和分析。</w:t>
      </w:r>
    </w:p>
    <w:p>
      <w:pPr>
        <w:ind w:firstLine="640" w:firstLineChars="200"/>
        <w:rPr>
          <w:rFonts w:ascii="仿宋_GB2312" w:hAnsi="仿宋" w:eastAsia="仿宋_GB2312"/>
          <w:sz w:val="32"/>
          <w:szCs w:val="32"/>
        </w:rPr>
      </w:pPr>
      <w:bookmarkStart w:id="28" w:name="PriceRuleDesc"/>
      <w:bookmarkStart w:id="29" w:name="PriceLastNumber"/>
      <w:r>
        <w:rPr>
          <w:rFonts w:hint="eastAsia" w:ascii="仿宋_GB2312" w:hAnsi="仿宋" w:eastAsia="仿宋_GB2312"/>
          <w:sz w:val="32"/>
          <w:szCs w:val="32"/>
        </w:rPr>
        <w:t>2．基准价格分：以有效投标人报价中价格最低的投标报价为基准价，定其基准价格分为15分。</w:t>
      </w:r>
    </w:p>
    <w:p>
      <w:pPr>
        <w:ind w:firstLine="640" w:firstLineChars="200"/>
        <w:rPr>
          <w:rFonts w:ascii="仿宋_GB2312" w:hAnsi="仿宋" w:eastAsia="仿宋_GB2312"/>
          <w:sz w:val="32"/>
          <w:szCs w:val="32"/>
        </w:rPr>
      </w:pPr>
      <w:r>
        <w:rPr>
          <w:rFonts w:hint="eastAsia" w:ascii="仿宋_GB2312" w:hAnsi="仿宋" w:eastAsia="仿宋_GB2312"/>
          <w:sz w:val="32"/>
          <w:szCs w:val="32"/>
        </w:rPr>
        <w:t>3．投标人的价格得分=（评标基准价/投标人报价）×15（精确到小数点后两位）分。由此算出每个投标人的“价格得分”。如果申请人的投标价格低于限价的60%，没有合理的解释说明材料或者材料不合理，价格分为零分。</w:t>
      </w:r>
    </w:p>
    <w:bookmarkEnd w:id="28"/>
    <w:bookmarkEnd w:id="29"/>
    <w:p>
      <w:pPr>
        <w:ind w:firstLine="640" w:firstLineChars="200"/>
        <w:rPr>
          <w:rFonts w:ascii="仿宋_GB2312" w:hAnsi="仿宋" w:eastAsia="仿宋_GB2312"/>
          <w:sz w:val="32"/>
          <w:szCs w:val="32"/>
        </w:rPr>
      </w:pPr>
      <w:r>
        <w:rPr>
          <w:rFonts w:hint="eastAsia" w:ascii="仿宋_GB2312" w:hAnsi="仿宋" w:eastAsia="仿宋_GB2312"/>
          <w:sz w:val="32"/>
          <w:szCs w:val="32"/>
        </w:rPr>
        <w:t>4．评委检查每个投标人的价格评分计算情况，确认“价格得分”。</w:t>
      </w:r>
      <w:bookmarkStart w:id="30" w:name="IsHasSample2"/>
      <w:bookmarkEnd w:id="30"/>
      <w:bookmarkStart w:id="31" w:name="NotRequestDemoOrRequestInstantReply"/>
      <w:bookmarkEnd w:id="31"/>
    </w:p>
    <w:p>
      <w:pPr>
        <w:ind w:firstLine="640" w:firstLineChars="200"/>
        <w:rPr>
          <w:rFonts w:ascii="仿宋_GB2312" w:hAnsi="仿宋" w:eastAsia="仿宋_GB2312"/>
          <w:sz w:val="32"/>
          <w:szCs w:val="32"/>
        </w:rPr>
      </w:pPr>
    </w:p>
    <w:p>
      <w:pPr>
        <w:spacing w:line="360" w:lineRule="auto"/>
        <w:jc w:val="center"/>
        <w:rPr>
          <w:rFonts w:ascii="仿宋_GB2312" w:hAnsi="仿宋" w:eastAsia="仿宋_GB2312"/>
          <w:b/>
          <w:sz w:val="32"/>
          <w:szCs w:val="32"/>
          <w:lang w:val="zh-CN"/>
        </w:rPr>
      </w:pPr>
      <w:r>
        <w:rPr>
          <w:rFonts w:hint="eastAsia" w:ascii="仿宋_GB2312" w:hAnsi="仿宋" w:eastAsia="仿宋_GB2312"/>
          <w:b/>
          <w:sz w:val="32"/>
          <w:szCs w:val="32"/>
          <w:lang w:val="zh-CN"/>
        </w:rPr>
        <w:t>综合评估分的计算和排序</w:t>
      </w:r>
    </w:p>
    <w:p>
      <w:pPr>
        <w:spacing w:line="360" w:lineRule="auto"/>
        <w:ind w:left="709"/>
        <w:rPr>
          <w:rFonts w:ascii="仿宋_GB2312" w:hAnsi="仿宋" w:eastAsia="仿宋_GB2312"/>
          <w:sz w:val="32"/>
          <w:szCs w:val="32"/>
        </w:rPr>
      </w:pPr>
      <w:r>
        <w:rPr>
          <w:rFonts w:hint="eastAsia" w:ascii="仿宋_GB2312" w:hAnsi="仿宋" w:eastAsia="仿宋_GB2312"/>
          <w:sz w:val="32"/>
          <w:szCs w:val="32"/>
        </w:rPr>
        <w:t>综合评估分中各评估因素所占权重（见下表）</w:t>
      </w:r>
      <w:bookmarkStart w:id="32" w:name="SubDocScoreRule"/>
    </w:p>
    <w:tbl>
      <w:tblPr>
        <w:tblStyle w:val="5"/>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评估因素</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技术</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商务</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8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仿宋" w:eastAsia="仿宋_GB2312"/>
                <w:bCs/>
                <w:sz w:val="32"/>
                <w:szCs w:val="32"/>
              </w:rPr>
            </w:pPr>
            <w:r>
              <w:rPr>
                <w:rFonts w:hint="eastAsia" w:ascii="仿宋_GB2312" w:hAnsi="仿宋" w:eastAsia="仿宋_GB2312"/>
                <w:bCs/>
                <w:sz w:val="32"/>
                <w:szCs w:val="32"/>
              </w:rPr>
              <w:t>评估权重</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Cs/>
                <w:sz w:val="32"/>
                <w:szCs w:val="32"/>
              </w:rPr>
            </w:pPr>
            <w:r>
              <w:rPr>
                <w:rFonts w:hint="eastAsia" w:ascii="仿宋_GB2312" w:hAnsi="仿宋" w:eastAsia="仿宋_GB2312"/>
                <w:bCs/>
                <w:sz w:val="32"/>
                <w:szCs w:val="32"/>
              </w:rPr>
              <w:t>40</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Cs/>
                <w:sz w:val="32"/>
                <w:szCs w:val="32"/>
              </w:rPr>
            </w:pPr>
            <w:r>
              <w:rPr>
                <w:rFonts w:hint="eastAsia" w:ascii="仿宋_GB2312" w:hAnsi="仿宋" w:eastAsia="仿宋_GB2312"/>
                <w:bCs/>
                <w:sz w:val="32"/>
                <w:szCs w:val="32"/>
              </w:rPr>
              <w:t>45</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Cs/>
                <w:sz w:val="32"/>
                <w:szCs w:val="32"/>
              </w:rPr>
            </w:pPr>
            <w:r>
              <w:rPr>
                <w:rFonts w:hint="eastAsia" w:ascii="仿宋_GB2312" w:hAnsi="仿宋" w:eastAsia="仿宋_GB2312"/>
                <w:bCs/>
                <w:sz w:val="32"/>
                <w:szCs w:val="32"/>
              </w:rPr>
              <w:t>15</w:t>
            </w:r>
          </w:p>
        </w:tc>
      </w:tr>
      <w:bookmarkEnd w:id="32"/>
    </w:tbl>
    <w:p>
      <w:pPr>
        <w:ind w:firstLine="640" w:firstLineChars="200"/>
        <w:rPr>
          <w:rFonts w:ascii="仿宋_GB2312" w:hAnsi="仿宋" w:eastAsia="仿宋_GB2312"/>
          <w:sz w:val="32"/>
          <w:szCs w:val="32"/>
        </w:rPr>
      </w:pPr>
      <w:r>
        <w:rPr>
          <w:rFonts w:hint="eastAsia" w:ascii="仿宋_GB2312" w:hAnsi="仿宋" w:eastAsia="仿宋_GB2312"/>
          <w:sz w:val="32"/>
          <w:szCs w:val="32"/>
        </w:rPr>
        <w:t>1．综合评估分</w:t>
      </w:r>
      <w:bookmarkStart w:id="33" w:name="CompositeScoreDesc"/>
      <w:r>
        <w:rPr>
          <w:rFonts w:hint="eastAsia" w:ascii="仿宋_GB2312" w:hAnsi="仿宋" w:eastAsia="仿宋_GB2312"/>
          <w:sz w:val="32"/>
          <w:szCs w:val="32"/>
        </w:rPr>
        <w:t>（精确到小数点后两位）=技术得分+商务得分+价格得分；</w:t>
      </w:r>
      <w:bookmarkEnd w:id="33"/>
    </w:p>
    <w:p>
      <w:pPr>
        <w:ind w:firstLine="640" w:firstLineChars="200"/>
        <w:rPr>
          <w:rFonts w:ascii="仿宋_GB2312" w:hAnsi="仿宋" w:eastAsia="仿宋_GB2312"/>
          <w:sz w:val="32"/>
          <w:szCs w:val="32"/>
        </w:rPr>
      </w:pPr>
      <w:r>
        <w:rPr>
          <w:rFonts w:hint="eastAsia" w:ascii="仿宋_GB2312" w:hAnsi="仿宋" w:eastAsia="仿宋_GB2312"/>
          <w:sz w:val="32"/>
          <w:szCs w:val="32"/>
        </w:rPr>
        <w:t>2．将综合评估分从高到低排序，得分相同的，按技术得分高低顺序排列；</w:t>
      </w:r>
    </w:p>
    <w:p>
      <w:pPr>
        <w:ind w:firstLine="640" w:firstLineChars="200"/>
        <w:rPr>
          <w:rFonts w:ascii="仿宋_GB2312" w:eastAsia="仿宋_GB2312"/>
          <w:sz w:val="24"/>
        </w:rPr>
      </w:pPr>
      <w:r>
        <w:rPr>
          <w:rFonts w:hint="eastAsia" w:ascii="仿宋_GB2312" w:hAnsi="仿宋" w:eastAsia="仿宋_GB2312"/>
          <w:sz w:val="32"/>
          <w:szCs w:val="32"/>
        </w:rPr>
        <w:t>3．评标委员会按排名顺序推荐前两名为中标候选人。若排名第一的中标候选人放弃中标或被取消中标资格，采购人可顺选排名第二的为中标候选人。</w:t>
      </w:r>
    </w:p>
    <w:p>
      <w:pPr>
        <w:widowControl/>
        <w:jc w:val="center"/>
        <w:rPr>
          <w:rFonts w:ascii="仿宋_GB2312" w:hAnsi="仿宋" w:eastAsia="仿宋_GB2312"/>
          <w:b/>
          <w:sz w:val="32"/>
          <w:szCs w:val="32"/>
          <w:lang w:val="zh-CN"/>
        </w:rPr>
      </w:pPr>
      <w:r>
        <w:rPr>
          <w:rFonts w:hint="eastAsia" w:ascii="仿宋_GB2312" w:eastAsia="仿宋_GB2312"/>
          <w:color w:val="000000"/>
          <w:sz w:val="24"/>
        </w:rPr>
        <w:br w:type="page"/>
      </w:r>
      <w:r>
        <w:rPr>
          <w:rFonts w:hint="eastAsia" w:ascii="仿宋_GB2312" w:hAnsi="仿宋" w:eastAsia="仿宋_GB2312"/>
          <w:b/>
          <w:sz w:val="32"/>
          <w:szCs w:val="32"/>
          <w:lang w:val="zh-CN"/>
        </w:rPr>
        <w:t>技术部分响应评分表</w:t>
      </w:r>
    </w:p>
    <w:p>
      <w:pPr>
        <w:rPr>
          <w:rFonts w:ascii="仿宋_GB2312" w:eastAsia="仿宋_GB2312"/>
        </w:rPr>
      </w:pPr>
    </w:p>
    <w:p>
      <w:pPr>
        <w:spacing w:line="360" w:lineRule="auto"/>
        <w:jc w:val="center"/>
        <w:rPr>
          <w:rFonts w:ascii="仿宋_GB2312" w:hAnsi="仿宋" w:eastAsia="仿宋_GB2312" w:cs="Arial"/>
          <w:b/>
          <w:bCs/>
          <w:color w:val="000000"/>
          <w:sz w:val="24"/>
          <w:szCs w:val="21"/>
        </w:rPr>
      </w:pPr>
      <w:r>
        <w:rPr>
          <w:rFonts w:hint="eastAsia" w:ascii="仿宋_GB2312" w:hAnsi="仿宋" w:eastAsia="仿宋_GB2312" w:cs="Arial"/>
          <w:b/>
          <w:color w:val="000000"/>
          <w:sz w:val="24"/>
          <w:szCs w:val="21"/>
        </w:rPr>
        <w:t xml:space="preserve">投标人:               </w:t>
      </w:r>
      <w:r>
        <w:rPr>
          <w:rFonts w:hint="eastAsia" w:ascii="仿宋_GB2312" w:hAnsi="仿宋" w:eastAsia="仿宋_GB2312" w:cs="Arial"/>
          <w:b/>
          <w:bCs/>
          <w:color w:val="000000"/>
          <w:sz w:val="24"/>
          <w:szCs w:val="21"/>
        </w:rPr>
        <w:t xml:space="preserve">评分合计:             </w:t>
      </w:r>
      <w:r>
        <w:rPr>
          <w:rFonts w:hint="eastAsia" w:ascii="仿宋_GB2312" w:hAnsi="仿宋" w:eastAsia="仿宋_GB2312" w:cs="Arial"/>
          <w:b/>
          <w:color w:val="000000"/>
          <w:sz w:val="24"/>
          <w:szCs w:val="21"/>
        </w:rPr>
        <w:t>评委签字：</w:t>
      </w:r>
    </w:p>
    <w:tbl>
      <w:tblPr>
        <w:tblStyle w:val="5"/>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2514"/>
        <w:gridCol w:w="467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29"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序号</w:t>
            </w:r>
          </w:p>
        </w:tc>
        <w:tc>
          <w:tcPr>
            <w:tcW w:w="2514"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评分项目</w:t>
            </w:r>
          </w:p>
        </w:tc>
        <w:tc>
          <w:tcPr>
            <w:tcW w:w="4678"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评分标准</w:t>
            </w:r>
          </w:p>
        </w:tc>
        <w:tc>
          <w:tcPr>
            <w:tcW w:w="852"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42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1</w:t>
            </w:r>
          </w:p>
        </w:tc>
        <w:tc>
          <w:tcPr>
            <w:tcW w:w="2514" w:type="dxa"/>
            <w:vAlign w:val="center"/>
          </w:tcPr>
          <w:p>
            <w:pPr>
              <w:widowControl/>
              <w:jc w:val="left"/>
              <w:rPr>
                <w:rFonts w:ascii="仿宋_GB2312" w:hAnsi="仿宋" w:eastAsia="仿宋_GB2312"/>
                <w:color w:val="000000"/>
                <w:sz w:val="24"/>
              </w:rPr>
            </w:pPr>
            <w:r>
              <w:rPr>
                <w:rFonts w:hint="eastAsia" w:ascii="仿宋_GB2312" w:hAnsi="仿宋" w:eastAsia="仿宋_GB2312"/>
                <w:color w:val="000000"/>
                <w:sz w:val="24"/>
              </w:rPr>
              <w:t>对本项目的了解和把握程度评价</w:t>
            </w:r>
          </w:p>
        </w:tc>
        <w:tc>
          <w:tcPr>
            <w:tcW w:w="4678"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评分等次及文字评价（按评估等级计算得分；优:6-5分；良:4-3分；合格:2-1分；不合格:0分）</w:t>
            </w:r>
          </w:p>
        </w:tc>
        <w:tc>
          <w:tcPr>
            <w:tcW w:w="85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2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2</w:t>
            </w:r>
          </w:p>
        </w:tc>
        <w:tc>
          <w:tcPr>
            <w:tcW w:w="2514" w:type="dxa"/>
            <w:vAlign w:val="center"/>
          </w:tcPr>
          <w:p>
            <w:pPr>
              <w:widowControl/>
              <w:jc w:val="left"/>
              <w:rPr>
                <w:rFonts w:ascii="仿宋_GB2312" w:hAnsi="仿宋" w:eastAsia="仿宋_GB2312"/>
                <w:color w:val="000000"/>
                <w:sz w:val="24"/>
              </w:rPr>
            </w:pPr>
            <w:r>
              <w:rPr>
                <w:rFonts w:hint="eastAsia" w:ascii="仿宋_GB2312" w:hAnsi="仿宋" w:eastAsia="仿宋_GB2312"/>
                <w:color w:val="000000"/>
                <w:sz w:val="24"/>
              </w:rPr>
              <w:t>项目实施方案的评价</w:t>
            </w:r>
          </w:p>
        </w:tc>
        <w:tc>
          <w:tcPr>
            <w:tcW w:w="4678"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评分等次及文字评价（按评估等级计算得分；优:5-4分；良:3-2分；合格:1分；不合格:0分）</w:t>
            </w:r>
          </w:p>
        </w:tc>
        <w:tc>
          <w:tcPr>
            <w:tcW w:w="85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42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3</w:t>
            </w:r>
          </w:p>
        </w:tc>
        <w:tc>
          <w:tcPr>
            <w:tcW w:w="2514" w:type="dxa"/>
            <w:vAlign w:val="center"/>
          </w:tcPr>
          <w:p>
            <w:pPr>
              <w:widowControl/>
              <w:jc w:val="left"/>
              <w:rPr>
                <w:rFonts w:ascii="仿宋_GB2312" w:hAnsi="仿宋" w:eastAsia="仿宋_GB2312"/>
                <w:color w:val="000000"/>
                <w:kern w:val="0"/>
                <w:sz w:val="24"/>
              </w:rPr>
            </w:pPr>
            <w:r>
              <w:rPr>
                <w:rFonts w:hint="eastAsia" w:ascii="仿宋_GB2312" w:hAnsi="仿宋" w:eastAsia="仿宋_GB2312"/>
                <w:color w:val="000000"/>
                <w:kern w:val="0"/>
                <w:sz w:val="24"/>
              </w:rPr>
              <w:t>对广州农业电商发展现状、特点等熟悉和掌握程度</w:t>
            </w:r>
          </w:p>
        </w:tc>
        <w:tc>
          <w:tcPr>
            <w:tcW w:w="4678"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评分等次及文字评价（按评估等级计算得分；优:9-7分；良:6-4分；合格:3-1分；不合格:0分）</w:t>
            </w:r>
          </w:p>
        </w:tc>
        <w:tc>
          <w:tcPr>
            <w:tcW w:w="852"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42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4</w:t>
            </w:r>
          </w:p>
        </w:tc>
        <w:tc>
          <w:tcPr>
            <w:tcW w:w="2514" w:type="dxa"/>
            <w:vAlign w:val="center"/>
          </w:tcPr>
          <w:p>
            <w:pPr>
              <w:widowControl/>
              <w:jc w:val="left"/>
              <w:rPr>
                <w:rFonts w:ascii="仿宋_GB2312" w:hAnsi="仿宋" w:eastAsia="仿宋_GB2312"/>
                <w:color w:val="000000"/>
                <w:sz w:val="24"/>
              </w:rPr>
            </w:pPr>
            <w:r>
              <w:rPr>
                <w:rFonts w:hint="eastAsia" w:ascii="仿宋_GB2312" w:hAnsi="仿宋" w:eastAsia="仿宋_GB2312"/>
                <w:color w:val="000000"/>
                <w:sz w:val="24"/>
              </w:rPr>
              <w:t>调研方法、活动方案和实施措施评价</w:t>
            </w:r>
          </w:p>
        </w:tc>
        <w:tc>
          <w:tcPr>
            <w:tcW w:w="4678"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评分等次及文字评价（按评估等级计算得分；优:5-4分；良:3-2分；合格:1分；不合格:0分）</w:t>
            </w:r>
          </w:p>
        </w:tc>
        <w:tc>
          <w:tcPr>
            <w:tcW w:w="85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2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5</w:t>
            </w:r>
          </w:p>
        </w:tc>
        <w:tc>
          <w:tcPr>
            <w:tcW w:w="2514" w:type="dxa"/>
            <w:vAlign w:val="center"/>
          </w:tcPr>
          <w:p>
            <w:pPr>
              <w:widowControl/>
              <w:jc w:val="left"/>
              <w:rPr>
                <w:rFonts w:ascii="仿宋_GB2312" w:hAnsi="仿宋" w:eastAsia="仿宋_GB2312"/>
                <w:color w:val="000000"/>
                <w:sz w:val="24"/>
              </w:rPr>
            </w:pPr>
            <w:r>
              <w:rPr>
                <w:rFonts w:hint="eastAsia" w:ascii="仿宋_GB2312" w:hAnsi="仿宋" w:eastAsia="仿宋_GB2312"/>
                <w:color w:val="000000"/>
                <w:sz w:val="24"/>
              </w:rPr>
              <w:t>对项目重点、难点的分析评价</w:t>
            </w:r>
          </w:p>
        </w:tc>
        <w:tc>
          <w:tcPr>
            <w:tcW w:w="4678" w:type="dxa"/>
            <w:vAlign w:val="center"/>
          </w:tcPr>
          <w:p>
            <w:pPr>
              <w:widowControl/>
              <w:jc w:val="left"/>
              <w:rPr>
                <w:rFonts w:ascii="仿宋_GB2312" w:hAnsi="仿宋" w:eastAsia="仿宋_GB2312"/>
                <w:color w:val="000000"/>
                <w:kern w:val="0"/>
                <w:sz w:val="24"/>
              </w:rPr>
            </w:pPr>
            <w:r>
              <w:rPr>
                <w:rFonts w:hint="eastAsia" w:ascii="仿宋_GB2312" w:hAnsi="仿宋" w:eastAsia="仿宋_GB2312"/>
                <w:color w:val="000000"/>
                <w:kern w:val="0"/>
                <w:sz w:val="24"/>
              </w:rPr>
              <w:t>评分等次及文字评价（按评估等级计算得分；优:10-7分；良:6-3分；合格:2-1分；不合格:0分）</w:t>
            </w:r>
          </w:p>
        </w:tc>
        <w:tc>
          <w:tcPr>
            <w:tcW w:w="85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2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6</w:t>
            </w:r>
          </w:p>
        </w:tc>
        <w:tc>
          <w:tcPr>
            <w:tcW w:w="2514" w:type="dxa"/>
            <w:vAlign w:val="center"/>
          </w:tcPr>
          <w:p>
            <w:pPr>
              <w:widowControl/>
              <w:jc w:val="left"/>
              <w:rPr>
                <w:rFonts w:ascii="仿宋_GB2312" w:hAnsi="仿宋" w:eastAsia="仿宋_GB2312"/>
                <w:color w:val="000000"/>
                <w:sz w:val="24"/>
              </w:rPr>
            </w:pPr>
            <w:r>
              <w:rPr>
                <w:rFonts w:hint="eastAsia" w:ascii="仿宋_GB2312" w:hAnsi="仿宋" w:eastAsia="仿宋_GB2312"/>
                <w:color w:val="000000"/>
                <w:sz w:val="24"/>
              </w:rPr>
              <w:t>进度、质量保证措施评价</w:t>
            </w:r>
          </w:p>
        </w:tc>
        <w:tc>
          <w:tcPr>
            <w:tcW w:w="4678" w:type="dxa"/>
            <w:vAlign w:val="center"/>
          </w:tcPr>
          <w:p>
            <w:pPr>
              <w:jc w:val="left"/>
              <w:rPr>
                <w:rFonts w:ascii="仿宋_GB2312" w:hAnsi="仿宋" w:eastAsia="仿宋_GB2312"/>
                <w:color w:val="000000"/>
                <w:sz w:val="24"/>
              </w:rPr>
            </w:pPr>
            <w:r>
              <w:rPr>
                <w:rFonts w:hint="eastAsia" w:ascii="仿宋_GB2312" w:hAnsi="仿宋" w:eastAsia="仿宋_GB2312"/>
                <w:color w:val="000000"/>
                <w:kern w:val="0"/>
                <w:sz w:val="24"/>
              </w:rPr>
              <w:t>评分等次及文字评价（按评估等级计算得分；优:5-4分；良:3-2分；合格:1分；不合格:0分）</w:t>
            </w:r>
          </w:p>
        </w:tc>
        <w:tc>
          <w:tcPr>
            <w:tcW w:w="85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r>
    </w:tbl>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jc w:val="center"/>
        <w:rPr>
          <w:rFonts w:hint="eastAsia" w:ascii="仿宋_GB2312" w:hAnsi="仿宋" w:eastAsia="仿宋_GB2312"/>
          <w:b/>
          <w:sz w:val="32"/>
          <w:szCs w:val="32"/>
          <w:lang w:val="zh-CN"/>
        </w:rPr>
        <w:sectPr>
          <w:pgSz w:w="11906" w:h="16838"/>
          <w:pgMar w:top="1440" w:right="1800" w:bottom="1440" w:left="1800" w:header="851" w:footer="992" w:gutter="0"/>
          <w:cols w:space="425" w:num="1"/>
          <w:docGrid w:type="lines" w:linePitch="312" w:charSpace="0"/>
        </w:sectPr>
      </w:pPr>
    </w:p>
    <w:p>
      <w:pPr>
        <w:spacing w:line="360" w:lineRule="auto"/>
        <w:jc w:val="center"/>
        <w:rPr>
          <w:rFonts w:ascii="仿宋_GB2312" w:hAnsi="仿宋" w:eastAsia="仿宋_GB2312"/>
          <w:b/>
          <w:sz w:val="32"/>
          <w:szCs w:val="32"/>
          <w:lang w:val="zh-CN"/>
        </w:rPr>
      </w:pPr>
      <w:r>
        <w:rPr>
          <w:rFonts w:hint="eastAsia" w:ascii="仿宋_GB2312" w:hAnsi="仿宋" w:eastAsia="仿宋_GB2312"/>
          <w:b/>
          <w:sz w:val="32"/>
          <w:szCs w:val="32"/>
          <w:lang w:val="zh-CN"/>
        </w:rPr>
        <w:t>商务部分响应评分表</w:t>
      </w:r>
    </w:p>
    <w:p>
      <w:pPr>
        <w:rPr>
          <w:rFonts w:ascii="仿宋_GB2312" w:eastAsia="仿宋_GB2312"/>
        </w:rPr>
      </w:pPr>
    </w:p>
    <w:p>
      <w:pPr>
        <w:spacing w:line="360" w:lineRule="auto"/>
        <w:jc w:val="center"/>
        <w:rPr>
          <w:rFonts w:ascii="仿宋_GB2312" w:hAnsi="仿宋" w:eastAsia="仿宋_GB2312" w:cs="Arial"/>
          <w:color w:val="000000"/>
          <w:sz w:val="24"/>
        </w:rPr>
      </w:pPr>
      <w:r>
        <w:rPr>
          <w:rFonts w:hint="eastAsia" w:ascii="仿宋_GB2312" w:hAnsi="仿宋" w:eastAsia="仿宋_GB2312" w:cs="Arial"/>
          <w:b/>
          <w:color w:val="000000"/>
          <w:sz w:val="24"/>
        </w:rPr>
        <w:t xml:space="preserve">投标人:                </w:t>
      </w:r>
      <w:r>
        <w:rPr>
          <w:rFonts w:hint="eastAsia" w:ascii="仿宋_GB2312" w:hAnsi="仿宋" w:eastAsia="仿宋_GB2312" w:cs="Arial"/>
          <w:b/>
          <w:bCs/>
          <w:color w:val="000000"/>
          <w:sz w:val="24"/>
        </w:rPr>
        <w:t xml:space="preserve">评分合计:             </w:t>
      </w:r>
      <w:r>
        <w:rPr>
          <w:rFonts w:hint="eastAsia" w:ascii="仿宋_GB2312" w:hAnsi="仿宋" w:eastAsia="仿宋_GB2312" w:cs="Arial"/>
          <w:b/>
          <w:color w:val="000000"/>
          <w:sz w:val="24"/>
        </w:rPr>
        <w:t>评委签字：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333"/>
        <w:gridCol w:w="47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69"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序号</w:t>
            </w:r>
          </w:p>
        </w:tc>
        <w:tc>
          <w:tcPr>
            <w:tcW w:w="2333"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评分项目</w:t>
            </w:r>
          </w:p>
        </w:tc>
        <w:tc>
          <w:tcPr>
            <w:tcW w:w="4740"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评分标准</w:t>
            </w:r>
          </w:p>
        </w:tc>
        <w:tc>
          <w:tcPr>
            <w:tcW w:w="980"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1</w:t>
            </w:r>
          </w:p>
        </w:tc>
        <w:tc>
          <w:tcPr>
            <w:tcW w:w="23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投标人信誉</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具有合法登记证照、独立法人资格得3分，没有合法资格或有不良信用记录的得0分。（须提供证书复印件或查询网站地址和截图）</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2</w:t>
            </w:r>
          </w:p>
        </w:tc>
        <w:tc>
          <w:tcPr>
            <w:tcW w:w="2333" w:type="dxa"/>
            <w:vAlign w:val="center"/>
          </w:tcPr>
          <w:p>
            <w:pPr>
              <w:widowControl/>
              <w:ind w:left="120" w:hanging="120" w:hangingChars="50"/>
              <w:jc w:val="center"/>
              <w:rPr>
                <w:rFonts w:ascii="仿宋_GB2312" w:hAnsi="仿宋" w:eastAsia="仿宋_GB2312"/>
                <w:color w:val="000000"/>
                <w:kern w:val="0"/>
                <w:sz w:val="24"/>
              </w:rPr>
            </w:pPr>
            <w:r>
              <w:rPr>
                <w:rFonts w:hint="eastAsia" w:ascii="仿宋_GB2312" w:hAnsi="仿宋" w:eastAsia="仿宋_GB2312"/>
                <w:color w:val="000000"/>
                <w:kern w:val="0"/>
                <w:sz w:val="24"/>
              </w:rPr>
              <w:t>履约能力、财务状况</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投标人提供近两年的由第三方机构认证的财务报表，得4分；提供一年的，得2分；不能提供的，不得分。</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3</w:t>
            </w:r>
          </w:p>
        </w:tc>
        <w:tc>
          <w:tcPr>
            <w:tcW w:w="23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投标人投入本项目主要成员的经验</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投标人投入该项目具备3年以上（含3年）涉农电商应用推广活动经验的人数，每有1人得1分，最高得3分。（须提供相关资料）</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9" w:type="dxa"/>
            <w:vMerge w:val="restart"/>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4</w:t>
            </w:r>
          </w:p>
        </w:tc>
        <w:tc>
          <w:tcPr>
            <w:tcW w:w="2333" w:type="dxa"/>
            <w:vMerge w:val="restart"/>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本地涉农电商应用推广活动服务组织经验</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近2年内，组织过我市农业电商服务推广活动经验的，每场规模在30人以上（含30人）,一场次得2分，最高12分。（须提供合同及相关证明材料）</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9" w:type="dxa"/>
            <w:vMerge w:val="continue"/>
            <w:vAlign w:val="center"/>
          </w:tcPr>
          <w:p>
            <w:pPr>
              <w:widowControl/>
              <w:jc w:val="center"/>
              <w:rPr>
                <w:rFonts w:ascii="仿宋_GB2312" w:hAnsi="仿宋" w:eastAsia="仿宋_GB2312"/>
                <w:color w:val="000000"/>
                <w:kern w:val="0"/>
                <w:sz w:val="24"/>
              </w:rPr>
            </w:pPr>
          </w:p>
        </w:tc>
        <w:tc>
          <w:tcPr>
            <w:tcW w:w="2333" w:type="dxa"/>
            <w:vMerge w:val="continue"/>
            <w:vAlign w:val="center"/>
          </w:tcPr>
          <w:p>
            <w:pPr>
              <w:widowControl/>
              <w:jc w:val="center"/>
              <w:rPr>
                <w:rFonts w:ascii="仿宋_GB2312" w:hAnsi="仿宋" w:eastAsia="仿宋_GB2312"/>
                <w:color w:val="000000"/>
                <w:kern w:val="0"/>
                <w:sz w:val="24"/>
              </w:rPr>
            </w:pP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除上述经验外，投标人近2年内与我市涉农院校、科研机构合作开展过涉农电商或涉农服务推广活动的，得3分。（须提供相关资料）</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5</w:t>
            </w:r>
          </w:p>
        </w:tc>
        <w:tc>
          <w:tcPr>
            <w:tcW w:w="23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涉农电商应用推广主题内容</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近2年内，开展涉农电商应用推广活动，编制涉农电商相关专题活动主题内容的，每个得0.5分，最高10分。（须提供相关资料）</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6</w:t>
            </w:r>
          </w:p>
        </w:tc>
        <w:tc>
          <w:tcPr>
            <w:tcW w:w="23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类似的涉农应用推广活动服务组织经验</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近2年内，组织过具有类似的涉农应用推广活动服务经验的，规模在50人以上（含50人），每一场次得0.5分，最高5分。（须提供合同及相关证明材料）</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7</w:t>
            </w:r>
          </w:p>
        </w:tc>
        <w:tc>
          <w:tcPr>
            <w:tcW w:w="23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本地服务支撑能力</w:t>
            </w:r>
          </w:p>
        </w:tc>
        <w:tc>
          <w:tcPr>
            <w:tcW w:w="4740" w:type="dxa"/>
            <w:vAlign w:val="center"/>
          </w:tcPr>
          <w:p>
            <w:pPr>
              <w:jc w:val="left"/>
              <w:rPr>
                <w:rFonts w:ascii="仿宋_GB2312" w:hAnsi="仿宋" w:eastAsia="仿宋_GB2312"/>
                <w:color w:val="000000"/>
                <w:kern w:val="0"/>
                <w:sz w:val="24"/>
              </w:rPr>
            </w:pPr>
            <w:r>
              <w:rPr>
                <w:rFonts w:hint="eastAsia" w:ascii="仿宋_GB2312" w:hAnsi="仿宋" w:eastAsia="仿宋_GB2312"/>
                <w:color w:val="000000"/>
                <w:kern w:val="0"/>
                <w:sz w:val="24"/>
              </w:rPr>
              <w:t>投标人总部所在地在广州市内的，得5分；在广州有分公司或分支机构的，得3分；其他不得分。（提供工商证明文件复印件）</w:t>
            </w:r>
          </w:p>
        </w:tc>
        <w:tc>
          <w:tcPr>
            <w:tcW w:w="980" w:type="dxa"/>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5分</w:t>
            </w:r>
          </w:p>
        </w:tc>
      </w:tr>
    </w:tbl>
    <w:p>
      <w:pPr>
        <w:rPr>
          <w:rFonts w:ascii="仿宋_GB2312" w:eastAsia="仿宋_GB2312"/>
        </w:rPr>
      </w:pPr>
    </w:p>
    <w:p>
      <w:pPr>
        <w:rPr>
          <w:rFonts w:ascii="仿宋_GB2312" w:eastAsia="仿宋_GB2312"/>
        </w:rPr>
      </w:pPr>
    </w:p>
    <w:p>
      <w:pPr>
        <w:spacing w:line="360" w:lineRule="auto"/>
        <w:jc w:val="center"/>
        <w:rPr>
          <w:rFonts w:hint="eastAsia" w:ascii="仿宋_GB2312" w:hAnsi="仿宋" w:eastAsia="仿宋_GB2312"/>
          <w:b/>
          <w:sz w:val="32"/>
          <w:szCs w:val="32"/>
          <w:lang w:val="zh-CN"/>
        </w:rPr>
      </w:pPr>
    </w:p>
    <w:p>
      <w:pPr>
        <w:spacing w:line="360" w:lineRule="auto"/>
        <w:jc w:val="center"/>
        <w:rPr>
          <w:rFonts w:hint="eastAsia" w:ascii="仿宋_GB2312" w:hAnsi="仿宋" w:eastAsia="仿宋_GB2312"/>
          <w:b/>
          <w:sz w:val="32"/>
          <w:szCs w:val="32"/>
          <w:lang w:val="zh-CN"/>
        </w:rPr>
      </w:pPr>
    </w:p>
    <w:p>
      <w:pPr>
        <w:spacing w:line="360" w:lineRule="auto"/>
        <w:jc w:val="center"/>
        <w:rPr>
          <w:rFonts w:hint="eastAsia" w:ascii="仿宋_GB2312" w:hAnsi="仿宋" w:eastAsia="仿宋_GB2312"/>
          <w:b/>
          <w:sz w:val="32"/>
          <w:szCs w:val="32"/>
          <w:lang w:val="zh-CN"/>
        </w:rPr>
      </w:pPr>
    </w:p>
    <w:p>
      <w:pPr>
        <w:spacing w:line="360" w:lineRule="auto"/>
        <w:jc w:val="center"/>
        <w:rPr>
          <w:rFonts w:hint="eastAsia" w:ascii="仿宋_GB2312" w:hAnsi="仿宋" w:eastAsia="仿宋_GB2312"/>
          <w:b/>
          <w:sz w:val="32"/>
          <w:szCs w:val="32"/>
          <w:lang w:val="zh-CN"/>
        </w:rPr>
      </w:pPr>
    </w:p>
    <w:p>
      <w:pPr>
        <w:spacing w:line="360" w:lineRule="auto"/>
        <w:jc w:val="center"/>
        <w:rPr>
          <w:rFonts w:hint="eastAsia" w:ascii="仿宋_GB2312" w:hAnsi="仿宋" w:eastAsia="仿宋_GB2312"/>
          <w:b/>
          <w:sz w:val="32"/>
          <w:szCs w:val="32"/>
          <w:lang w:val="zh-CN"/>
        </w:rPr>
        <w:sectPr>
          <w:pgSz w:w="11906" w:h="16838"/>
          <w:pgMar w:top="1440" w:right="1800" w:bottom="1440" w:left="1800" w:header="851" w:footer="992" w:gutter="0"/>
          <w:cols w:space="425" w:num="1"/>
          <w:docGrid w:type="lines" w:linePitch="312" w:charSpace="0"/>
        </w:sectPr>
      </w:pPr>
    </w:p>
    <w:p>
      <w:pPr>
        <w:spacing w:line="360" w:lineRule="auto"/>
        <w:jc w:val="center"/>
        <w:rPr>
          <w:rFonts w:ascii="仿宋_GB2312" w:eastAsia="仿宋_GB2312"/>
        </w:rPr>
      </w:pPr>
      <w:r>
        <w:rPr>
          <w:rFonts w:hint="eastAsia" w:ascii="仿宋_GB2312" w:hAnsi="仿宋" w:eastAsia="仿宋_GB2312"/>
          <w:b/>
          <w:sz w:val="32"/>
          <w:szCs w:val="32"/>
          <w:lang w:val="zh-CN"/>
        </w:rPr>
        <w:t>价格部分响应评分表</w:t>
      </w:r>
    </w:p>
    <w:p>
      <w:pPr>
        <w:spacing w:line="360" w:lineRule="auto"/>
        <w:jc w:val="center"/>
        <w:rPr>
          <w:rFonts w:ascii="仿宋_GB2312" w:hAnsi="仿宋" w:eastAsia="仿宋_GB2312" w:cs="Arial"/>
          <w:color w:val="000000"/>
          <w:sz w:val="24"/>
        </w:rPr>
      </w:pPr>
      <w:r>
        <w:rPr>
          <w:rFonts w:hint="eastAsia" w:ascii="仿宋_GB2312" w:hAnsi="仿宋" w:eastAsia="仿宋_GB2312" w:cs="Arial"/>
          <w:b/>
          <w:color w:val="000000"/>
          <w:sz w:val="24"/>
        </w:rPr>
        <w:t xml:space="preserve">投标人:                </w:t>
      </w:r>
      <w:r>
        <w:rPr>
          <w:rFonts w:hint="eastAsia" w:ascii="仿宋_GB2312" w:hAnsi="仿宋" w:eastAsia="仿宋_GB2312" w:cs="Arial"/>
          <w:b/>
          <w:bCs/>
          <w:color w:val="000000"/>
          <w:sz w:val="24"/>
        </w:rPr>
        <w:t xml:space="preserve">评分合计:             </w:t>
      </w:r>
      <w:r>
        <w:rPr>
          <w:rFonts w:hint="eastAsia" w:ascii="仿宋_GB2312" w:hAnsi="仿宋" w:eastAsia="仿宋_GB2312" w:cs="Arial"/>
          <w:b/>
          <w:color w:val="000000"/>
          <w:sz w:val="24"/>
        </w:rPr>
        <w:t>评委签字：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333"/>
        <w:gridCol w:w="47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69"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序号</w:t>
            </w:r>
          </w:p>
        </w:tc>
        <w:tc>
          <w:tcPr>
            <w:tcW w:w="2333"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评分项目</w:t>
            </w:r>
          </w:p>
        </w:tc>
        <w:tc>
          <w:tcPr>
            <w:tcW w:w="4740"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评分标准</w:t>
            </w:r>
          </w:p>
        </w:tc>
        <w:tc>
          <w:tcPr>
            <w:tcW w:w="980" w:type="dxa"/>
            <w:vAlign w:val="center"/>
          </w:tcPr>
          <w:p>
            <w:pPr>
              <w:widowControl/>
              <w:jc w:val="center"/>
              <w:rPr>
                <w:rFonts w:ascii="仿宋_GB2312" w:hAnsi="仿宋" w:eastAsia="仿宋_GB2312"/>
                <w:b/>
                <w:bCs/>
                <w:color w:val="000000"/>
                <w:kern w:val="0"/>
                <w:sz w:val="24"/>
              </w:rPr>
            </w:pPr>
            <w:r>
              <w:rPr>
                <w:rFonts w:hint="eastAsia" w:ascii="仿宋_GB2312" w:hAnsi="仿宋" w:eastAsia="仿宋_GB2312"/>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69"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1</w:t>
            </w:r>
          </w:p>
        </w:tc>
        <w:tc>
          <w:tcPr>
            <w:tcW w:w="23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价格评价</w:t>
            </w:r>
          </w:p>
        </w:tc>
        <w:tc>
          <w:tcPr>
            <w:tcW w:w="4740" w:type="dxa"/>
            <w:vAlign w:val="center"/>
          </w:tcPr>
          <w:p>
            <w:pPr>
              <w:rPr>
                <w:rFonts w:ascii="仿宋_GB2312" w:hAnsi="仿宋" w:eastAsia="仿宋_GB2312"/>
                <w:color w:val="000000"/>
                <w:kern w:val="0"/>
                <w:sz w:val="24"/>
              </w:rPr>
            </w:pPr>
            <w:r>
              <w:rPr>
                <w:rFonts w:hint="eastAsia" w:ascii="仿宋_GB2312" w:hAnsi="仿宋" w:eastAsia="仿宋_GB2312"/>
                <w:color w:val="000000"/>
                <w:kern w:val="0"/>
                <w:sz w:val="24"/>
              </w:rPr>
              <w:t>1.基准价格分：以有效投标人报价中价格最低的投标报价为基准价，定其基准价格分为15分。</w:t>
            </w:r>
          </w:p>
          <w:p>
            <w:pPr>
              <w:rPr>
                <w:rFonts w:ascii="仿宋_GB2312" w:hAnsi="仿宋" w:eastAsia="仿宋_GB2312"/>
                <w:color w:val="000000"/>
                <w:kern w:val="0"/>
                <w:sz w:val="24"/>
              </w:rPr>
            </w:pPr>
            <w:r>
              <w:rPr>
                <w:rFonts w:hint="eastAsia" w:ascii="仿宋_GB2312" w:hAnsi="仿宋" w:eastAsia="仿宋_GB2312"/>
                <w:color w:val="000000"/>
                <w:kern w:val="0"/>
                <w:sz w:val="24"/>
              </w:rPr>
              <w:t>2．投标人的价格得分=（评标基准价 / 投标人报价）×15（精确到小数点后两位）分。由此算出每个投标人的“价格得分”。</w:t>
            </w:r>
          </w:p>
        </w:tc>
        <w:tc>
          <w:tcPr>
            <w:tcW w:w="980"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15分</w:t>
            </w:r>
          </w:p>
        </w:tc>
      </w:tr>
    </w:tbl>
    <w:p>
      <w:pPr>
        <w:sectPr>
          <w:pgSz w:w="11906" w:h="16838"/>
          <w:pgMar w:top="1440" w:right="1800" w:bottom="1440" w:left="1800" w:header="851" w:footer="992" w:gutter="0"/>
          <w:cols w:space="425" w:num="1"/>
          <w:docGrid w:type="lines" w:linePitch="312" w:charSpace="0"/>
        </w:sectPr>
      </w:pPr>
    </w:p>
    <w:p>
      <w:pPr>
        <w:jc w:val="center"/>
        <w:rPr>
          <w:rFonts w:eastAsia="标宋体"/>
          <w:spacing w:val="10"/>
          <w:sz w:val="52"/>
        </w:rPr>
      </w:pPr>
    </w:p>
    <w:p>
      <w:pPr>
        <w:jc w:val="center"/>
        <w:rPr>
          <w:rFonts w:eastAsia="标宋体"/>
          <w:spacing w:val="10"/>
          <w:sz w:val="52"/>
        </w:rPr>
      </w:pPr>
    </w:p>
    <w:p>
      <w:pPr>
        <w:jc w:val="center"/>
        <w:rPr>
          <w:rFonts w:eastAsia="标宋体"/>
          <w:spacing w:val="10"/>
          <w:sz w:val="52"/>
        </w:rPr>
      </w:pPr>
    </w:p>
    <w:p>
      <w:pPr>
        <w:spacing w:line="600" w:lineRule="exact"/>
        <w:jc w:val="center"/>
        <w:rPr>
          <w:rFonts w:ascii="仿宋_GB2312" w:eastAsia="仿宋_GB2312"/>
          <w:b/>
          <w:bCs/>
          <w:sz w:val="44"/>
          <w:szCs w:val="44"/>
        </w:rPr>
      </w:pPr>
      <w:r>
        <w:rPr>
          <w:rFonts w:hint="eastAsia" w:ascii="仿宋_GB2312" w:eastAsia="仿宋_GB2312"/>
          <w:b/>
          <w:bCs/>
          <w:sz w:val="44"/>
          <w:szCs w:val="44"/>
          <w:lang w:eastAsia="zh-CN"/>
        </w:rPr>
        <w:t>202</w:t>
      </w:r>
      <w:r>
        <w:rPr>
          <w:rFonts w:hint="eastAsia" w:ascii="仿宋_GB2312" w:eastAsia="仿宋_GB2312"/>
          <w:b/>
          <w:bCs/>
          <w:sz w:val="44"/>
          <w:szCs w:val="44"/>
          <w:lang w:val="en-US" w:eastAsia="zh-CN"/>
        </w:rPr>
        <w:t>3</w:t>
      </w:r>
      <w:r>
        <w:rPr>
          <w:rFonts w:hint="eastAsia" w:ascii="仿宋_GB2312" w:eastAsia="仿宋_GB2312"/>
          <w:b/>
          <w:bCs/>
          <w:sz w:val="44"/>
          <w:szCs w:val="44"/>
        </w:rPr>
        <w:t>年广州农业电商应用推广活动服务</w:t>
      </w:r>
    </w:p>
    <w:p>
      <w:pPr>
        <w:spacing w:line="600" w:lineRule="exact"/>
        <w:jc w:val="center"/>
        <w:rPr>
          <w:rFonts w:ascii="仿宋_GB2312" w:eastAsia="仿宋_GB2312"/>
          <w:b/>
          <w:bCs/>
          <w:sz w:val="44"/>
          <w:szCs w:val="44"/>
        </w:rPr>
      </w:pPr>
      <w:r>
        <w:rPr>
          <w:rFonts w:hint="eastAsia" w:ascii="仿宋_GB2312" w:eastAsia="仿宋_GB2312"/>
          <w:b/>
          <w:bCs/>
          <w:sz w:val="44"/>
          <w:szCs w:val="44"/>
        </w:rPr>
        <w:t xml:space="preserve">委托申请书     </w:t>
      </w:r>
    </w:p>
    <w:p>
      <w:pPr>
        <w:jc w:val="center"/>
        <w:rPr>
          <w:rFonts w:ascii="华文中宋" w:hAnsi="华文中宋" w:eastAsia="华文中宋"/>
          <w:sz w:val="44"/>
          <w:szCs w:val="44"/>
        </w:rPr>
      </w:pPr>
    </w:p>
    <w:p>
      <w:pPr>
        <w:jc w:val="center"/>
        <w:rPr>
          <w:rFonts w:ascii="Times New Roman" w:hAnsi="Times New Roman"/>
          <w:szCs w:val="20"/>
        </w:rPr>
      </w:pPr>
    </w:p>
    <w:p/>
    <w:p>
      <w:pPr>
        <w:jc w:val="center"/>
      </w:pPr>
    </w:p>
    <w:p>
      <w:pPr>
        <w:jc w:val="center"/>
      </w:pPr>
    </w:p>
    <w:p>
      <w:pPr>
        <w:jc w:val="center"/>
      </w:pPr>
    </w:p>
    <w:p>
      <w:pPr>
        <w:jc w:val="center"/>
      </w:pPr>
    </w:p>
    <w:p>
      <w:pPr>
        <w:jc w:val="center"/>
      </w:pPr>
    </w:p>
    <w:p>
      <w:pPr>
        <w:rPr>
          <w:rFonts w:eastAsia="仿宋_GB2312"/>
          <w:sz w:val="32"/>
          <w:szCs w:val="32"/>
        </w:rPr>
      </w:pPr>
      <w:r>
        <w:rPr>
          <w:rFonts w:hint="eastAsia" w:ascii="华文中宋" w:hAnsi="华文中宋" w:eastAsia="华文中宋"/>
          <w:szCs w:val="21"/>
        </w:rPr>
        <w:t xml:space="preserve">   </w:t>
      </w:r>
    </w:p>
    <w:p>
      <w:pPr>
        <w:rPr>
          <w:szCs w:val="20"/>
        </w:rPr>
      </w:pPr>
    </w:p>
    <w:p>
      <w:pPr>
        <w:ind w:firstLine="320" w:firstLineChars="100"/>
        <w:rPr>
          <w:rFonts w:eastAsia="仿宋_GB2312"/>
          <w:sz w:val="32"/>
          <w:szCs w:val="32"/>
          <w:u w:val="single"/>
        </w:rPr>
      </w:pPr>
      <w:r>
        <w:rPr>
          <w:rFonts w:hint="eastAsia" w:eastAsia="仿宋_GB2312"/>
          <w:sz w:val="32"/>
          <w:szCs w:val="32"/>
        </w:rPr>
        <w:t>项</w:t>
      </w:r>
      <w:r>
        <w:rPr>
          <w:rFonts w:eastAsia="仿宋_GB2312"/>
          <w:sz w:val="32"/>
          <w:szCs w:val="32"/>
        </w:rPr>
        <w:t xml:space="preserve"> </w:t>
      </w:r>
      <w:r>
        <w:rPr>
          <w:rFonts w:hint="eastAsia" w:eastAsia="仿宋_GB2312"/>
          <w:sz w:val="32"/>
          <w:szCs w:val="32"/>
        </w:rPr>
        <w:t>目</w:t>
      </w:r>
      <w:r>
        <w:rPr>
          <w:rFonts w:eastAsia="仿宋_GB2312"/>
          <w:sz w:val="32"/>
          <w:szCs w:val="32"/>
        </w:rPr>
        <w:t xml:space="preserve"> </w:t>
      </w:r>
      <w:r>
        <w:rPr>
          <w:rFonts w:hint="eastAsia" w:eastAsia="仿宋_GB2312"/>
          <w:sz w:val="32"/>
          <w:szCs w:val="32"/>
        </w:rPr>
        <w:t>负</w:t>
      </w:r>
      <w:r>
        <w:rPr>
          <w:rFonts w:eastAsia="仿宋_GB2312"/>
          <w:sz w:val="32"/>
          <w:szCs w:val="32"/>
        </w:rPr>
        <w:t xml:space="preserve"> </w:t>
      </w:r>
      <w:r>
        <w:rPr>
          <w:rFonts w:hint="eastAsia" w:eastAsia="仿宋_GB2312"/>
          <w:sz w:val="32"/>
          <w:szCs w:val="32"/>
        </w:rPr>
        <w:t>责</w:t>
      </w:r>
      <w:r>
        <w:rPr>
          <w:rFonts w:eastAsia="仿宋_GB2312"/>
          <w:sz w:val="32"/>
          <w:szCs w:val="32"/>
        </w:rPr>
        <w:t xml:space="preserve">  </w:t>
      </w:r>
      <w:r>
        <w:rPr>
          <w:rFonts w:hint="eastAsia" w:eastAsia="仿宋_GB2312"/>
          <w:sz w:val="32"/>
          <w:szCs w:val="32"/>
        </w:rPr>
        <w:t>人</w:t>
      </w:r>
      <w:r>
        <w:rPr>
          <w:rFonts w:eastAsia="仿宋_GB2312"/>
          <w:sz w:val="32"/>
          <w:szCs w:val="32"/>
        </w:rPr>
        <w:t xml:space="preserve"> </w:t>
      </w:r>
      <w:r>
        <w:rPr>
          <w:rFonts w:eastAsia="仿宋_GB2312"/>
          <w:sz w:val="32"/>
          <w:szCs w:val="32"/>
          <w:u w:val="single"/>
        </w:rPr>
        <w:t xml:space="preserve">                            </w:t>
      </w:r>
    </w:p>
    <w:p>
      <w:pPr>
        <w:ind w:firstLine="320" w:firstLineChars="100"/>
        <w:rPr>
          <w:rFonts w:eastAsia="仿宋_GB2312"/>
          <w:sz w:val="32"/>
          <w:szCs w:val="32"/>
          <w:u w:val="single"/>
        </w:rPr>
      </w:pPr>
      <w:r>
        <w:rPr>
          <w:rFonts w:hint="eastAsia" w:eastAsia="仿宋_GB2312"/>
          <w:sz w:val="32"/>
          <w:szCs w:val="32"/>
        </w:rPr>
        <w:t>单</w:t>
      </w:r>
      <w:r>
        <w:rPr>
          <w:rFonts w:eastAsia="仿宋_GB2312"/>
          <w:sz w:val="32"/>
          <w:szCs w:val="32"/>
        </w:rPr>
        <w:t xml:space="preserve">   </w:t>
      </w:r>
      <w:r>
        <w:rPr>
          <w:rFonts w:hint="eastAsia" w:eastAsia="仿宋_GB2312"/>
          <w:sz w:val="32"/>
          <w:szCs w:val="32"/>
        </w:rPr>
        <w:t>位</w:t>
      </w:r>
      <w:r>
        <w:rPr>
          <w:rFonts w:eastAsia="仿宋_GB2312"/>
          <w:sz w:val="32"/>
          <w:szCs w:val="32"/>
        </w:rPr>
        <w:t xml:space="preserve">  </w:t>
      </w:r>
      <w:r>
        <w:rPr>
          <w:rFonts w:hint="eastAsia" w:eastAsia="仿宋_GB2312"/>
          <w:sz w:val="32"/>
          <w:szCs w:val="32"/>
        </w:rPr>
        <w:t>名</w:t>
      </w:r>
      <w:r>
        <w:rPr>
          <w:rFonts w:eastAsia="仿宋_GB2312"/>
          <w:sz w:val="32"/>
          <w:szCs w:val="32"/>
        </w:rPr>
        <w:t xml:space="preserve">  </w:t>
      </w:r>
      <w:r>
        <w:rPr>
          <w:rFonts w:hint="eastAsia" w:eastAsia="仿宋_GB2312"/>
          <w:sz w:val="32"/>
          <w:szCs w:val="32"/>
        </w:rPr>
        <w:t>称</w:t>
      </w:r>
      <w:r>
        <w:rPr>
          <w:rFonts w:eastAsia="仿宋_GB2312"/>
          <w:sz w:val="32"/>
          <w:szCs w:val="32"/>
        </w:rPr>
        <w:t xml:space="preserve"> </w:t>
      </w:r>
      <w:r>
        <w:rPr>
          <w:rFonts w:eastAsia="仿宋_GB2312"/>
          <w:sz w:val="32"/>
          <w:szCs w:val="32"/>
          <w:u w:val="single"/>
        </w:rPr>
        <w:t xml:space="preserve">                            </w:t>
      </w:r>
    </w:p>
    <w:p>
      <w:pPr>
        <w:ind w:firstLine="320" w:firstLineChars="100"/>
        <w:rPr>
          <w:rFonts w:eastAsia="仿宋_GB2312"/>
          <w:sz w:val="32"/>
          <w:szCs w:val="32"/>
          <w:u w:val="single"/>
        </w:rPr>
      </w:pPr>
      <w:r>
        <w:rPr>
          <w:rFonts w:hint="eastAsia" w:eastAsia="仿宋_GB2312"/>
          <w:sz w:val="32"/>
          <w:szCs w:val="32"/>
        </w:rPr>
        <w:t>填</w:t>
      </w:r>
      <w:r>
        <w:rPr>
          <w:rFonts w:eastAsia="仿宋_GB2312"/>
          <w:sz w:val="32"/>
          <w:szCs w:val="32"/>
        </w:rPr>
        <w:t xml:space="preserve">  </w:t>
      </w:r>
      <w:r>
        <w:rPr>
          <w:rFonts w:hint="eastAsia" w:eastAsia="仿宋_GB2312"/>
          <w:sz w:val="32"/>
          <w:szCs w:val="32"/>
        </w:rPr>
        <w:t>表</w:t>
      </w:r>
      <w:r>
        <w:rPr>
          <w:rFonts w:eastAsia="仿宋_GB2312"/>
          <w:sz w:val="32"/>
          <w:szCs w:val="32"/>
        </w:rPr>
        <w:t xml:space="preserve">   </w:t>
      </w:r>
      <w:r>
        <w:rPr>
          <w:rFonts w:hint="eastAsia" w:eastAsia="仿宋_GB2312"/>
          <w:sz w:val="32"/>
          <w:szCs w:val="32"/>
        </w:rPr>
        <w:t>日</w:t>
      </w:r>
      <w:r>
        <w:rPr>
          <w:rFonts w:eastAsia="仿宋_GB2312"/>
          <w:sz w:val="32"/>
          <w:szCs w:val="32"/>
        </w:rPr>
        <w:t xml:space="preserve">  </w:t>
      </w:r>
      <w:r>
        <w:rPr>
          <w:rFonts w:hint="eastAsia" w:eastAsia="仿宋_GB2312"/>
          <w:sz w:val="32"/>
          <w:szCs w:val="32"/>
        </w:rPr>
        <w:t>期</w:t>
      </w:r>
      <w:r>
        <w:rPr>
          <w:rFonts w:eastAsia="仿宋_GB2312"/>
          <w:sz w:val="32"/>
          <w:szCs w:val="32"/>
        </w:rPr>
        <w:t xml:space="preserve"> </w:t>
      </w:r>
      <w:r>
        <w:rPr>
          <w:rFonts w:eastAsia="仿宋_GB2312"/>
          <w:sz w:val="32"/>
          <w:szCs w:val="32"/>
          <w:u w:val="single"/>
        </w:rPr>
        <w:t xml:space="preserve">                            </w:t>
      </w:r>
    </w:p>
    <w:p>
      <w:pPr>
        <w:rPr>
          <w:rFonts w:eastAsia="仿宋_GB2312"/>
          <w:sz w:val="32"/>
          <w:szCs w:val="32"/>
        </w:rPr>
      </w:pPr>
    </w:p>
    <w:p>
      <w:pPr>
        <w:jc w:val="center"/>
        <w:rPr>
          <w:rFonts w:eastAsia="方正仿宋_GBK"/>
          <w:sz w:val="28"/>
          <w:szCs w:val="28"/>
        </w:rPr>
      </w:pPr>
      <w:r>
        <w:rPr>
          <w:rFonts w:eastAsia="方正仿宋_GBK"/>
          <w:sz w:val="28"/>
          <w:szCs w:val="28"/>
        </w:rPr>
        <w:t xml:space="preserve"> </w:t>
      </w:r>
    </w:p>
    <w:p>
      <w:pPr>
        <w:spacing w:line="420" w:lineRule="auto"/>
        <w:ind w:right="-1226" w:rightChars="-584"/>
        <w:rPr>
          <w:rFonts w:eastAsia="方正楷体_GBK"/>
          <w:color w:val="000000"/>
          <w:sz w:val="32"/>
          <w:szCs w:val="32"/>
        </w:rPr>
      </w:pPr>
    </w:p>
    <w:p>
      <w:pPr>
        <w:spacing w:line="420" w:lineRule="auto"/>
        <w:ind w:right="-1226" w:rightChars="-584"/>
        <w:rPr>
          <w:rFonts w:eastAsia="方正楷体_GBK"/>
          <w:color w:val="000000"/>
          <w:sz w:val="32"/>
          <w:szCs w:val="32"/>
        </w:rPr>
      </w:pPr>
    </w:p>
    <w:p>
      <w:pPr>
        <w:spacing w:line="420" w:lineRule="auto"/>
        <w:ind w:right="-1226" w:rightChars="-584"/>
        <w:rPr>
          <w:rFonts w:eastAsia="方正楷体_GBK"/>
          <w:color w:val="000000"/>
          <w:sz w:val="32"/>
          <w:szCs w:val="32"/>
        </w:rPr>
      </w:pPr>
    </w:p>
    <w:p>
      <w:pPr>
        <w:spacing w:line="420" w:lineRule="auto"/>
        <w:ind w:right="-1226" w:rightChars="-584"/>
        <w:rPr>
          <w:rFonts w:eastAsia="黑体"/>
          <w:sz w:val="28"/>
          <w:szCs w:val="28"/>
        </w:rPr>
      </w:pPr>
    </w:p>
    <w:p>
      <w:pPr>
        <w:spacing w:line="420" w:lineRule="auto"/>
        <w:ind w:right="-1226" w:rightChars="-584" w:firstLine="3520" w:firstLineChars="800"/>
        <w:rPr>
          <w:rFonts w:hint="eastAsia" w:eastAsia="仿宋_GB2312"/>
          <w:sz w:val="44"/>
          <w:szCs w:val="44"/>
        </w:rPr>
        <w:sectPr>
          <w:pgSz w:w="11906" w:h="16838"/>
          <w:pgMar w:top="1474" w:right="1587" w:bottom="1474" w:left="1587" w:header="851" w:footer="992" w:gutter="0"/>
          <w:pgNumType w:fmt="numberInDash"/>
          <w:cols w:space="720" w:num="1"/>
          <w:docGrid w:type="lines" w:linePitch="312" w:charSpace="0"/>
        </w:sectPr>
      </w:pPr>
    </w:p>
    <w:p>
      <w:pPr>
        <w:spacing w:line="420" w:lineRule="auto"/>
        <w:ind w:right="-1226" w:rightChars="-584" w:firstLine="3520" w:firstLineChars="800"/>
        <w:rPr>
          <w:rFonts w:eastAsia="仿宋_GB2312"/>
          <w:sz w:val="28"/>
          <w:szCs w:val="28"/>
        </w:rPr>
      </w:pPr>
      <w:r>
        <w:rPr>
          <w:rFonts w:hint="eastAsia" w:eastAsia="仿宋_GB2312"/>
          <w:sz w:val="44"/>
          <w:szCs w:val="44"/>
        </w:rPr>
        <w:t>承诺书</w:t>
      </w:r>
    </w:p>
    <w:p>
      <w:pPr>
        <w:spacing w:line="420" w:lineRule="auto"/>
        <w:ind w:left="-71" w:leftChars="-34" w:right="-1226" w:rightChars="-584" w:firstLine="70" w:firstLineChars="25"/>
        <w:rPr>
          <w:rFonts w:eastAsia="仿宋_GB2312"/>
          <w:sz w:val="28"/>
          <w:szCs w:val="28"/>
        </w:rPr>
      </w:pPr>
    </w:p>
    <w:p>
      <w:pPr>
        <w:pStyle w:val="2"/>
        <w:spacing w:line="432" w:lineRule="auto"/>
        <w:jc w:val="both"/>
        <w:rPr>
          <w:rFonts w:ascii="Times New Roman" w:hAnsi="Times New Roman" w:eastAsia="仿宋_GB2312"/>
          <w:sz w:val="28"/>
        </w:rPr>
      </w:pPr>
      <w:r>
        <w:rPr>
          <w:rFonts w:ascii="Times New Roman" w:hAnsi="Times New Roman" w:eastAsia="仿宋_GB2312"/>
          <w:sz w:val="28"/>
        </w:rPr>
        <w:t xml:space="preserve">    </w:t>
      </w:r>
      <w:r>
        <w:rPr>
          <w:rFonts w:hint="eastAsia" w:ascii="Times New Roman" w:hAnsi="Times New Roman" w:eastAsia="仿宋_GB2312"/>
          <w:sz w:val="28"/>
        </w:rPr>
        <w:t>本《申请书》真实可信，本单位愿意在此《申请书》规定框架内实施项目，遵守委托单位的有关规定，认真开展</w:t>
      </w:r>
      <w:r>
        <w:rPr>
          <w:rFonts w:hint="eastAsia" w:ascii="Times New Roman" w:hAnsi="Times New Roman" w:eastAsia="仿宋_GB2312"/>
          <w:sz w:val="28"/>
          <w:lang w:eastAsia="zh-CN"/>
        </w:rPr>
        <w:t>202</w:t>
      </w:r>
      <w:r>
        <w:rPr>
          <w:rFonts w:hint="eastAsia" w:ascii="Times New Roman" w:hAnsi="Times New Roman" w:eastAsia="仿宋_GB2312"/>
          <w:sz w:val="28"/>
          <w:lang w:val="en-US" w:eastAsia="zh-CN"/>
        </w:rPr>
        <w:t>3</w:t>
      </w:r>
      <w:r>
        <w:rPr>
          <w:rFonts w:hint="eastAsia" w:ascii="Times New Roman" w:hAnsi="Times New Roman" w:eastAsia="仿宋_GB2312"/>
          <w:sz w:val="28"/>
        </w:rPr>
        <w:t>年广州农业电商应用推广活动服务工作，达到预期的目标。</w:t>
      </w:r>
    </w:p>
    <w:p>
      <w:pPr>
        <w:snapToGrid w:val="0"/>
        <w:spacing w:line="500" w:lineRule="exact"/>
        <w:ind w:firstLine="560" w:firstLineChars="200"/>
        <w:rPr>
          <w:rFonts w:ascii="Times New Roman" w:hAnsi="Times New Roman"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r>
        <w:rPr>
          <w:rFonts w:hint="eastAsia" w:eastAsia="仿宋_GB2312"/>
          <w:sz w:val="28"/>
        </w:rPr>
        <w:t>项目负责人（签名）：</w:t>
      </w: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r>
        <w:rPr>
          <w:rFonts w:hint="eastAsia" w:eastAsia="仿宋_GB2312"/>
          <w:sz w:val="28"/>
        </w:rPr>
        <w:t>日期：</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rPr>
          <w:rFonts w:eastAsia="仿宋_GB2312"/>
          <w:sz w:val="28"/>
        </w:rPr>
      </w:pPr>
      <w:r>
        <w:rPr>
          <w:rFonts w:eastAsia="仿宋_GB2312"/>
          <w:sz w:val="28"/>
        </w:rPr>
        <w:t xml:space="preserve">    </w:t>
      </w:r>
    </w:p>
    <w:p>
      <w:pPr>
        <w:snapToGrid w:val="0"/>
        <w:spacing w:line="500" w:lineRule="exact"/>
        <w:rPr>
          <w:rFonts w:eastAsia="仿宋_GB2312"/>
          <w:sz w:val="28"/>
        </w:rPr>
      </w:pPr>
      <w:r>
        <w:rPr>
          <w:rFonts w:eastAsia="仿宋_GB2312"/>
          <w:sz w:val="28"/>
        </w:rPr>
        <w:t xml:space="preserve">    </w:t>
      </w:r>
      <w:r>
        <w:rPr>
          <w:rFonts w:hint="eastAsia" w:eastAsia="仿宋_GB2312"/>
          <w:sz w:val="28"/>
        </w:rPr>
        <w:t>项目负责人所在单位（公章）：</w:t>
      </w:r>
    </w:p>
    <w:p>
      <w:pPr>
        <w:snapToGrid w:val="0"/>
        <w:spacing w:line="500" w:lineRule="exact"/>
        <w:rPr>
          <w:rFonts w:eastAsia="仿宋_GB2312"/>
          <w:sz w:val="28"/>
        </w:rPr>
      </w:pPr>
      <w:r>
        <w:rPr>
          <w:rFonts w:eastAsia="仿宋_GB2312"/>
          <w:sz w:val="28"/>
        </w:rPr>
        <w:t xml:space="preserve">    </w:t>
      </w:r>
    </w:p>
    <w:p>
      <w:pPr>
        <w:snapToGrid w:val="0"/>
        <w:spacing w:line="500" w:lineRule="exact"/>
        <w:rPr>
          <w:rFonts w:eastAsia="仿宋_GB2312"/>
          <w:color w:val="000000"/>
          <w:sz w:val="32"/>
          <w:szCs w:val="32"/>
        </w:rPr>
      </w:pPr>
      <w:r>
        <w:rPr>
          <w:rFonts w:eastAsia="仿宋_GB2312"/>
          <w:sz w:val="28"/>
        </w:rPr>
        <w:t xml:space="preserve">    </w:t>
      </w:r>
      <w:r>
        <w:rPr>
          <w:rFonts w:hint="eastAsia" w:eastAsia="仿宋_GB2312"/>
          <w:sz w:val="28"/>
        </w:rPr>
        <w:t>日期：</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p>
      <w:pPr>
        <w:snapToGrid w:val="0"/>
        <w:spacing w:line="500" w:lineRule="exact"/>
        <w:ind w:firstLine="560" w:firstLineChars="200"/>
        <w:rPr>
          <w:rFonts w:eastAsia="仿宋_GB2312"/>
          <w:sz w:val="28"/>
          <w:szCs w:val="20"/>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pacing w:line="420" w:lineRule="auto"/>
        <w:ind w:right="-1226" w:rightChars="-584"/>
        <w:rPr>
          <w:rFonts w:eastAsia="黑体"/>
          <w:sz w:val="28"/>
          <w:szCs w:val="28"/>
        </w:rPr>
      </w:pPr>
      <w:r>
        <w:rPr>
          <w:rFonts w:eastAsia="黑体"/>
          <w:sz w:val="28"/>
          <w:szCs w:val="28"/>
        </w:rPr>
        <w:br w:type="page"/>
      </w:r>
      <w:r>
        <w:rPr>
          <w:rFonts w:hint="eastAsia" w:eastAsia="黑体"/>
          <w:sz w:val="28"/>
          <w:szCs w:val="28"/>
        </w:rPr>
        <w:t>一、申报单位和项目负责人资料</w:t>
      </w:r>
    </w:p>
    <w:tbl>
      <w:tblPr>
        <w:tblStyle w:val="5"/>
        <w:tblpPr w:leftFromText="180" w:rightFromText="180" w:vertAnchor="text" w:horzAnchor="margin" w:tblpX="-290" w:tblpY="15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994"/>
        <w:gridCol w:w="1800"/>
        <w:gridCol w:w="1080"/>
        <w:gridCol w:w="90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sz w:val="24"/>
              </w:rPr>
              <w:t>项目名称</w:t>
            </w:r>
          </w:p>
        </w:tc>
        <w:tc>
          <w:tcPr>
            <w:tcW w:w="79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工作单位</w:t>
            </w:r>
          </w:p>
        </w:tc>
        <w:tc>
          <w:tcPr>
            <w:tcW w:w="2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相关资质</w:t>
            </w:r>
          </w:p>
        </w:tc>
        <w:tc>
          <w:tcPr>
            <w:tcW w:w="3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0"/>
              </w:rPr>
            </w:pPr>
            <w:r>
              <w:rPr>
                <w:rFonts w:hint="eastAsia" w:ascii="仿宋_GB2312" w:hAnsi="仿宋_GB2312" w:eastAsia="仿宋_GB2312" w:cs="仿宋_GB2312"/>
                <w:sz w:val="24"/>
              </w:rPr>
              <w:t>项目负责人</w:t>
            </w:r>
          </w:p>
          <w:p>
            <w:pPr>
              <w:jc w:val="center"/>
              <w:rPr>
                <w:rFonts w:ascii="仿宋_GB2312" w:hAnsi="仿宋_GB2312" w:eastAsia="仿宋_GB2312" w:cs="仿宋_GB2312"/>
                <w:sz w:val="24"/>
              </w:rPr>
            </w:pPr>
          </w:p>
        </w:tc>
        <w:tc>
          <w:tcPr>
            <w:tcW w:w="2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电子邮件</w:t>
            </w:r>
          </w:p>
        </w:tc>
        <w:tc>
          <w:tcPr>
            <w:tcW w:w="2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2994" w:type="dxa"/>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手机和电话</w:t>
            </w:r>
          </w:p>
        </w:tc>
        <w:tc>
          <w:tcPr>
            <w:tcW w:w="3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8" w:hRule="atLeas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0"/>
              </w:rPr>
            </w:pPr>
          </w:p>
          <w:p>
            <w:pPr>
              <w:jc w:val="center"/>
              <w:rPr>
                <w:rFonts w:ascii="仿宋_GB2312" w:hAnsi="仿宋_GB2312" w:eastAsia="仿宋_GB2312" w:cs="仿宋_GB2312"/>
                <w:sz w:val="24"/>
              </w:rPr>
            </w:pPr>
            <w:r>
              <w:rPr>
                <w:rFonts w:hint="eastAsia" w:ascii="仿宋_GB2312" w:hAnsi="仿宋_GB2312" w:eastAsia="仿宋_GB2312" w:cs="仿宋_GB2312"/>
                <w:sz w:val="24"/>
              </w:rPr>
              <w:t>申请单位的情况说明</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c>
          <w:tcPr>
            <w:tcW w:w="7986" w:type="dxa"/>
            <w:gridSpan w:val="5"/>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仿宋_GB2312" w:hAnsi="仿宋_GB2312" w:eastAsia="仿宋_GB2312" w:cs="仿宋_GB2312"/>
                <w:sz w:val="24"/>
              </w:rPr>
            </w:pPr>
          </w:p>
        </w:tc>
      </w:tr>
    </w:tbl>
    <w:p>
      <w:pPr>
        <w:jc w:val="left"/>
        <w:rPr>
          <w:rFonts w:ascii="Times New Roman" w:hAnsi="Times New Roman"/>
          <w:szCs w:val="20"/>
        </w:rPr>
      </w:pPr>
      <w:r>
        <w:rPr>
          <w:rFonts w:hint="eastAsia"/>
        </w:rPr>
        <w:t>注：不够可加页。</w:t>
      </w:r>
    </w:p>
    <w:p>
      <w:pPr>
        <w:widowControl/>
        <w:jc w:val="left"/>
        <w:sectPr>
          <w:pgSz w:w="11906" w:h="16838"/>
          <w:pgMar w:top="1474" w:right="1587" w:bottom="1474" w:left="1587" w:header="851" w:footer="992" w:gutter="0"/>
          <w:pgNumType w:fmt="numberInDash"/>
          <w:cols w:space="720" w:num="1"/>
          <w:docGrid w:type="lines" w:linePitch="312" w:charSpace="0"/>
        </w:sectPr>
      </w:pPr>
    </w:p>
    <w:p>
      <w:pPr>
        <w:spacing w:line="420" w:lineRule="auto"/>
        <w:ind w:right="-1226" w:rightChars="-584"/>
        <w:rPr>
          <w:rFonts w:eastAsia="黑体"/>
          <w:sz w:val="28"/>
          <w:szCs w:val="28"/>
        </w:rPr>
      </w:pPr>
      <w:r>
        <w:rPr>
          <w:rFonts w:hint="eastAsia" w:eastAsia="黑体"/>
          <w:sz w:val="28"/>
          <w:szCs w:val="28"/>
        </w:rPr>
        <w:t>二、情况介绍</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6" w:hRule="atLeast"/>
        </w:trPr>
        <w:tc>
          <w:tcPr>
            <w:tcW w:w="8640" w:type="dxa"/>
            <w:tcBorders>
              <w:top w:val="single" w:color="auto" w:sz="4" w:space="0"/>
              <w:left w:val="single" w:color="auto" w:sz="4" w:space="0"/>
              <w:bottom w:val="single" w:color="auto" w:sz="4" w:space="0"/>
              <w:right w:val="single" w:color="auto" w:sz="4" w:space="0"/>
            </w:tcBorders>
            <w:vAlign w:val="top"/>
          </w:tcPr>
          <w:p>
            <w:pPr>
              <w:spacing w:line="440" w:lineRule="exact"/>
              <w:ind w:left="105" w:leftChars="50" w:right="105" w:rightChars="50" w:firstLine="551" w:firstLineChars="197"/>
              <w:rPr>
                <w:rFonts w:ascii="Times New Roman" w:hAnsi="Times New Roman" w:eastAsia="仿宋_GB2312"/>
                <w:bCs/>
                <w:sz w:val="28"/>
                <w:szCs w:val="28"/>
              </w:rPr>
            </w:pPr>
          </w:p>
        </w:tc>
      </w:tr>
    </w:tbl>
    <w:p>
      <w:pPr>
        <w:spacing w:line="420" w:lineRule="auto"/>
        <w:ind w:right="-1226" w:rightChars="-584"/>
        <w:rPr>
          <w:rFonts w:ascii="Times New Roman" w:hAnsi="Times New Roman" w:eastAsia="黑体"/>
          <w:sz w:val="28"/>
          <w:szCs w:val="28"/>
        </w:rPr>
      </w:pPr>
    </w:p>
    <w:p>
      <w:pPr>
        <w:spacing w:line="420" w:lineRule="auto"/>
        <w:ind w:right="-1226" w:rightChars="-584"/>
        <w:rPr>
          <w:rFonts w:eastAsia="黑体"/>
          <w:sz w:val="28"/>
          <w:szCs w:val="28"/>
        </w:rPr>
      </w:pPr>
      <w:r>
        <w:rPr>
          <w:rFonts w:hint="eastAsia" w:eastAsia="黑体"/>
          <w:sz w:val="28"/>
          <w:szCs w:val="28"/>
        </w:rPr>
        <w:t>三、项目主要内容及实施计划</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1" w:hRule="atLeast"/>
        </w:trPr>
        <w:tc>
          <w:tcPr>
            <w:tcW w:w="8640" w:type="dxa"/>
            <w:tcBorders>
              <w:top w:val="single" w:color="auto" w:sz="4" w:space="0"/>
              <w:left w:val="single" w:color="auto" w:sz="4" w:space="0"/>
              <w:bottom w:val="single" w:color="auto" w:sz="4" w:space="0"/>
              <w:right w:val="single" w:color="auto" w:sz="4" w:space="0"/>
            </w:tcBorders>
            <w:vAlign w:val="top"/>
          </w:tcPr>
          <w:p>
            <w:pPr>
              <w:spacing w:line="360" w:lineRule="exact"/>
              <w:ind w:firstLine="252" w:firstLineChars="105"/>
              <w:rPr>
                <w:rFonts w:ascii="Times New Roman" w:hAnsi="Times New Roman" w:eastAsia="仿宋_GB2312"/>
                <w:sz w:val="24"/>
              </w:rPr>
            </w:pPr>
          </w:p>
        </w:tc>
      </w:tr>
    </w:tbl>
    <w:p>
      <w:pPr>
        <w:spacing w:line="420" w:lineRule="auto"/>
        <w:ind w:right="-1226" w:rightChars="-584"/>
        <w:outlineLvl w:val="0"/>
        <w:rPr>
          <w:rFonts w:ascii="Times New Roman" w:hAnsi="Times New Roman" w:eastAsia="黑体"/>
          <w:sz w:val="28"/>
          <w:szCs w:val="28"/>
        </w:rPr>
      </w:pPr>
    </w:p>
    <w:p>
      <w:pPr>
        <w:spacing w:line="420" w:lineRule="auto"/>
        <w:ind w:right="-1226" w:rightChars="-584"/>
        <w:rPr>
          <w:rFonts w:eastAsia="黑体"/>
          <w:sz w:val="28"/>
          <w:szCs w:val="28"/>
        </w:rPr>
      </w:pPr>
      <w:r>
        <w:rPr>
          <w:rFonts w:hint="eastAsia" w:eastAsia="黑体"/>
          <w:sz w:val="28"/>
          <w:szCs w:val="28"/>
        </w:rPr>
        <w:t>四、项目经费概算</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340"/>
        <w:gridCol w:w="145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pacing w:val="70"/>
                <w:sz w:val="24"/>
              </w:rPr>
            </w:pPr>
            <w:r>
              <w:rPr>
                <w:rFonts w:hint="eastAsia" w:eastAsia="仿宋_GB2312"/>
                <w:spacing w:val="70"/>
                <w:sz w:val="24"/>
              </w:rPr>
              <w:t>开支科目</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z w:val="24"/>
              </w:rPr>
            </w:pPr>
            <w:r>
              <w:rPr>
                <w:rFonts w:hint="eastAsia" w:eastAsia="仿宋_GB2312"/>
                <w:bCs/>
                <w:sz w:val="24"/>
              </w:rPr>
              <w:t>金额（人民币</w:t>
            </w:r>
            <w:r>
              <w:rPr>
                <w:rFonts w:eastAsia="仿宋_GB2312"/>
                <w:bCs/>
                <w:sz w:val="24"/>
              </w:rPr>
              <w:t>:</w:t>
            </w:r>
            <w:r>
              <w:rPr>
                <w:rFonts w:hint="eastAsia" w:eastAsia="仿宋_GB2312"/>
                <w:bCs/>
                <w:sz w:val="24"/>
              </w:rPr>
              <w:t>元）</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z w:val="24"/>
              </w:rPr>
            </w:pPr>
            <w:r>
              <w:rPr>
                <w:rFonts w:hint="eastAsia" w:eastAsia="仿宋_GB2312"/>
                <w:bCs/>
                <w:sz w:val="24"/>
              </w:rPr>
              <w:t>比</w:t>
            </w:r>
            <w:r>
              <w:rPr>
                <w:rFonts w:eastAsia="仿宋_GB2312"/>
                <w:bCs/>
                <w:sz w:val="24"/>
              </w:rPr>
              <w:t xml:space="preserve">  </w:t>
            </w:r>
            <w:r>
              <w:rPr>
                <w:rFonts w:hint="eastAsia" w:eastAsia="仿宋_GB2312"/>
                <w:bCs/>
                <w:sz w:val="24"/>
              </w:rPr>
              <w:t>例</w:t>
            </w:r>
            <w:r>
              <w:rPr>
                <w:rFonts w:eastAsia="仿宋_GB2312"/>
                <w:bCs/>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z w:val="24"/>
              </w:rPr>
            </w:pPr>
            <w:r>
              <w:rPr>
                <w:rFonts w:hint="eastAsia" w:eastAsia="仿宋_GB2312"/>
                <w:bCs/>
                <w:sz w:val="24"/>
              </w:rPr>
              <w:t>备</w:t>
            </w:r>
            <w:r>
              <w:rPr>
                <w:rFonts w:eastAsia="仿宋_GB2312"/>
                <w:bCs/>
                <w:sz w:val="24"/>
              </w:rPr>
              <w:t xml:space="preserve">  </w:t>
            </w:r>
            <w:r>
              <w:rPr>
                <w:rFonts w:hint="eastAsia" w:eastAsia="仿宋_GB2312"/>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pacing w:val="20"/>
                <w:sz w:val="24"/>
              </w:rPr>
            </w:pPr>
            <w:r>
              <w:rPr>
                <w:rFonts w:hint="eastAsia" w:eastAsia="仿宋_GB2312"/>
                <w:spacing w:val="20"/>
                <w:sz w:val="24"/>
              </w:rPr>
              <w:t>合</w:t>
            </w:r>
            <w:r>
              <w:rPr>
                <w:rFonts w:eastAsia="仿宋_GB2312"/>
                <w:spacing w:val="20"/>
                <w:sz w:val="24"/>
              </w:rPr>
              <w:t xml:space="preserve">      </w:t>
            </w:r>
            <w:r>
              <w:rPr>
                <w:rFonts w:hint="eastAsia" w:eastAsia="仿宋_GB2312"/>
                <w:spacing w:val="20"/>
                <w:sz w:val="24"/>
              </w:rPr>
              <w:t>计</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bl>
    <w:p>
      <w:pPr>
        <w:spacing w:line="420" w:lineRule="auto"/>
        <w:ind w:right="-1226" w:rightChars="-584"/>
        <w:rPr>
          <w:rFonts w:eastAsia="黑体"/>
          <w:sz w:val="28"/>
          <w:szCs w:val="28"/>
        </w:rPr>
      </w:pPr>
      <w:r>
        <w:rPr>
          <w:rFonts w:hint="eastAsia" w:eastAsia="黑体"/>
          <w:sz w:val="28"/>
          <w:szCs w:val="28"/>
        </w:rPr>
        <w:t>五、审核意见</w:t>
      </w:r>
    </w:p>
    <w:tbl>
      <w:tblPr>
        <w:tblStyle w:val="5"/>
        <w:tblW w:w="907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vAlign w:val="center"/>
          </w:tcPr>
          <w:p>
            <w:pPr>
              <w:ind w:firstLine="117" w:firstLineChars="49"/>
              <w:rPr>
                <w:rFonts w:ascii="仿宋_GB2312" w:hAnsi="Times New Roman" w:eastAsia="仿宋_GB2312"/>
                <w:sz w:val="24"/>
                <w:szCs w:val="20"/>
              </w:rPr>
            </w:pPr>
            <w:r>
              <w:rPr>
                <w:rFonts w:hint="eastAsia" w:ascii="仿宋_GB2312" w:eastAsia="仿宋_GB2312"/>
                <w:sz w:val="24"/>
              </w:rPr>
              <w:t>申请</w:t>
            </w:r>
          </w:p>
          <w:p>
            <w:pPr>
              <w:ind w:firstLine="120" w:firstLineChars="50"/>
              <w:rPr>
                <w:rFonts w:ascii="仿宋_GB2312" w:eastAsia="仿宋_GB2312"/>
                <w:sz w:val="24"/>
              </w:rPr>
            </w:pPr>
            <w:r>
              <w:rPr>
                <w:rFonts w:hint="eastAsia" w:ascii="仿宋_GB2312" w:eastAsia="仿宋_GB2312"/>
                <w:sz w:val="24"/>
              </w:rPr>
              <w:t>单位</w:t>
            </w:r>
          </w:p>
          <w:p>
            <w:pPr>
              <w:ind w:firstLine="120" w:firstLineChars="50"/>
              <w:rPr>
                <w:rFonts w:ascii="仿宋_GB2312" w:hAnsi="Times New Roman" w:eastAsia="仿宋_GB2312"/>
                <w:sz w:val="24"/>
              </w:rPr>
            </w:pPr>
            <w:r>
              <w:rPr>
                <w:rFonts w:hint="eastAsia" w:ascii="仿宋_GB2312" w:eastAsia="仿宋_GB2312"/>
                <w:sz w:val="24"/>
              </w:rPr>
              <w:t>意见</w:t>
            </w:r>
          </w:p>
        </w:tc>
        <w:tc>
          <w:tcPr>
            <w:tcW w:w="8109"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sz w:val="24"/>
                <w:szCs w:val="20"/>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spacing w:after="156" w:afterLines="50"/>
              <w:ind w:firstLine="960" w:firstLineChars="400"/>
              <w:jc w:val="left"/>
              <w:rPr>
                <w:sz w:val="24"/>
              </w:rPr>
            </w:pPr>
            <w:r>
              <w:rPr>
                <w:rFonts w:hint="eastAsia"/>
                <w:sz w:val="24"/>
              </w:rPr>
              <w:t>负责人（签名）</w:t>
            </w:r>
            <w:r>
              <w:rPr>
                <w:sz w:val="24"/>
              </w:rPr>
              <w:t xml:space="preserve">                   </w:t>
            </w:r>
            <w:r>
              <w:rPr>
                <w:rFonts w:hint="eastAsia"/>
                <w:sz w:val="24"/>
              </w:rPr>
              <w:t>（公章）</w:t>
            </w:r>
          </w:p>
          <w:p>
            <w:pPr>
              <w:spacing w:after="156" w:afterLines="50"/>
              <w:jc w:val="left"/>
              <w:rPr>
                <w:rFonts w:ascii="Times New Roman" w:hAnsi="Times New Roman"/>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ascii="Times New Roman" w:hAnsi="Times New Roman"/>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标宋体">
    <w:altName w:val="宋体"/>
    <w:panose1 w:val="00000000000000000000"/>
    <w:charset w:val="00"/>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WY3ZWJkNzE2YjA0NGE0ZjMyMzUzZWNhYWNlN2YifQ=="/>
  </w:docVars>
  <w:rsids>
    <w:rsidRoot w:val="097E7B1C"/>
    <w:rsid w:val="097E7B1C"/>
    <w:rsid w:val="0BBC5998"/>
    <w:rsid w:val="0C990DB7"/>
    <w:rsid w:val="2BB204FF"/>
    <w:rsid w:val="3E9F63D0"/>
    <w:rsid w:val="56C308AF"/>
    <w:rsid w:val="64C56305"/>
    <w:rsid w:val="77FB7FBB"/>
    <w:rsid w:val="BFFEDB12"/>
    <w:rsid w:val="F55AD20D"/>
    <w:rsid w:val="F6FD16D7"/>
    <w:rsid w:val="FE5DD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3887</Words>
  <Characters>3987</Characters>
  <Lines>0</Lines>
  <Paragraphs>0</Paragraphs>
  <TotalTime>6</TotalTime>
  <ScaleCrop>false</ScaleCrop>
  <LinksUpToDate>false</LinksUpToDate>
  <CharactersWithSpaces>4320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2021-04-09T08:38:00Z</dcterms:created>
  <dc:creator>采编编辑1617870364601</dc:creator>
  <cp:lastModifiedBy>谢曼莹1673944446715</cp:lastModifiedBy>
  <dcterms:modified xsi:type="dcterms:W3CDTF">2023-06-15T01:20:21Z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54D3E7E07D7D4E57857994234CCB0AD1</vt:lpwstr>
  </property>
</Properties>
</file>