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  <w:r>
        <w:rPr>
          <w:rFonts w:ascii="Times New Roman" w:hAnsi="Times New Roman" w:eastAsia="方正小标宋简体" w:cs="Times New Roman"/>
          <w:color w:val="auto"/>
          <w:kern w:val="0"/>
          <w:sz w:val="44"/>
          <w:szCs w:val="44"/>
        </w:rPr>
        <w:t>粤港澳大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湾区“菜篮子”产品</w:t>
      </w:r>
    </w:p>
    <w:p>
      <w:pPr>
        <w:spacing w:line="570" w:lineRule="exact"/>
        <w:jc w:val="center"/>
        <w:rPr>
          <w:rFonts w:ascii="Times New Roman" w:hAnsi="Times New Roman" w:eastAsia="方正小标宋简体" w:cs="Times New Roman"/>
          <w:color w:val="auto"/>
          <w:kern w:val="0"/>
          <w:sz w:val="44"/>
          <w:szCs w:val="44"/>
        </w:rPr>
      </w:pPr>
      <w:r>
        <w:rPr>
          <w:rFonts w:ascii="Times New Roman" w:hAnsi="Times New Roman" w:eastAsia="方正小标宋简体" w:cs="Times New Roman"/>
          <w:color w:val="auto"/>
          <w:kern w:val="0"/>
          <w:sz w:val="44"/>
          <w:szCs w:val="44"/>
        </w:rPr>
        <w:t>质量安全监控方案</w:t>
      </w:r>
    </w:p>
    <w:p>
      <w:pPr>
        <w:spacing w:line="570" w:lineRule="exact"/>
        <w:jc w:val="center"/>
        <w:rPr>
          <w:rFonts w:ascii="Times New Roman" w:hAnsi="Times New Roman" w:eastAsia="方正小标宋简体" w:cs="Times New Roman"/>
          <w:color w:val="auto"/>
          <w:kern w:val="0"/>
          <w:sz w:val="44"/>
          <w:szCs w:val="44"/>
        </w:rPr>
      </w:pPr>
      <w:r>
        <w:rPr>
          <w:rFonts w:hint="eastAsia" w:ascii="楷体_GB2312" w:hAnsi="楷体_GB2312" w:eastAsia="楷体_GB2312" w:cs="楷体_GB2312"/>
          <w:color w:val="auto"/>
          <w:kern w:val="0"/>
          <w:sz w:val="32"/>
          <w:szCs w:val="32"/>
          <w:lang w:eastAsia="zh-CN"/>
        </w:rPr>
        <w:t>（修订）</w:t>
      </w:r>
    </w:p>
    <w:p>
      <w:pPr>
        <w:widowControl w:val="0"/>
        <w:spacing w:line="336" w:lineRule="auto"/>
        <w:jc w:val="both"/>
        <w:rPr>
          <w:rFonts w:ascii="Times New Roman" w:hAnsi="Times New Roman" w:eastAsia="黑体" w:cs="Times New Roman"/>
          <w:color w:val="auto"/>
          <w:kern w:val="0"/>
          <w:sz w:val="32"/>
          <w:szCs w:val="32"/>
          <w:lang w:val="en-US" w:eastAsia="zh-CN" w:bidi="ar-SA"/>
        </w:rPr>
      </w:pPr>
    </w:p>
    <w:p>
      <w:pPr>
        <w:widowControl w:val="0"/>
        <w:spacing w:line="336" w:lineRule="auto"/>
        <w:jc w:val="center"/>
        <w:rPr>
          <w:rFonts w:ascii="Times New Roman" w:hAnsi="Times New Roman" w:eastAsia="黑体" w:cs="Times New Roman"/>
          <w:color w:val="auto"/>
          <w:kern w:val="0"/>
          <w:sz w:val="32"/>
          <w:szCs w:val="32"/>
          <w:lang w:val="en-US" w:eastAsia="zh-CN" w:bidi="ar-SA"/>
        </w:rPr>
      </w:pPr>
      <w:r>
        <w:rPr>
          <w:rFonts w:ascii="Times New Roman" w:hAnsi="黑体" w:eastAsia="黑体" w:cs="Times New Roman"/>
          <w:color w:val="auto"/>
          <w:kern w:val="0"/>
          <w:sz w:val="32"/>
          <w:szCs w:val="32"/>
          <w:lang w:val="en-US" w:eastAsia="zh-CN" w:bidi="ar-SA"/>
        </w:rPr>
        <w:t>第一章</w:t>
      </w:r>
      <w:r>
        <w:rPr>
          <w:rFonts w:ascii="Times New Roman" w:hAnsi="Times New Roman" w:eastAsia="黑体" w:cs="Times New Roman"/>
          <w:color w:val="auto"/>
          <w:kern w:val="0"/>
          <w:sz w:val="32"/>
          <w:szCs w:val="32"/>
          <w:lang w:val="en-US" w:eastAsia="zh-CN" w:bidi="ar-SA"/>
        </w:rPr>
        <w:t xml:space="preserve">  </w:t>
      </w:r>
      <w:r>
        <w:rPr>
          <w:rFonts w:ascii="Times New Roman" w:hAnsi="黑体" w:eastAsia="黑体" w:cs="Times New Roman"/>
          <w:color w:val="auto"/>
          <w:kern w:val="0"/>
          <w:sz w:val="32"/>
          <w:szCs w:val="32"/>
          <w:lang w:val="en-US" w:eastAsia="zh-CN" w:bidi="ar-SA"/>
        </w:rPr>
        <w:t>总</w:t>
      </w:r>
      <w:r>
        <w:rPr>
          <w:rFonts w:ascii="Times New Roman" w:hAnsi="Times New Roman" w:eastAsia="黑体" w:cs="Times New Roman"/>
          <w:color w:val="auto"/>
          <w:kern w:val="0"/>
          <w:sz w:val="32"/>
          <w:szCs w:val="32"/>
          <w:lang w:val="en-US" w:eastAsia="zh-CN" w:bidi="ar-SA"/>
        </w:rPr>
        <w:t xml:space="preserve">  </w:t>
      </w:r>
      <w:r>
        <w:rPr>
          <w:rFonts w:ascii="Times New Roman" w:hAnsi="黑体" w:eastAsia="黑体" w:cs="Times New Roman"/>
          <w:color w:val="auto"/>
          <w:kern w:val="0"/>
          <w:sz w:val="32"/>
          <w:szCs w:val="32"/>
          <w:lang w:val="en-US" w:eastAsia="zh-CN" w:bidi="ar-SA"/>
        </w:rPr>
        <w:t>则</w:t>
      </w:r>
    </w:p>
    <w:p>
      <w:pPr>
        <w:widowControl/>
        <w:snapToGrid w:val="0"/>
        <w:spacing w:line="336" w:lineRule="auto"/>
        <w:ind w:firstLine="640" w:firstLineChars="200"/>
        <w:jc w:val="both"/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</w:pPr>
    </w:p>
    <w:p>
      <w:pPr>
        <w:widowControl/>
        <w:snapToGrid w:val="0"/>
        <w:spacing w:line="336" w:lineRule="auto"/>
        <w:ind w:firstLine="640" w:firstLineChars="200"/>
        <w:jc w:val="both"/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第一条  为保障粤港澳大湾区“菜篮子”产品的质量安全，根据国家相关法律法规和政策规定，制定本方案。</w:t>
      </w:r>
    </w:p>
    <w:p>
      <w:pPr>
        <w:widowControl/>
        <w:snapToGrid w:val="0"/>
        <w:spacing w:line="336" w:lineRule="auto"/>
        <w:ind w:firstLine="640" w:firstLineChars="200"/>
        <w:jc w:val="both"/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第二条  本方案适用于粤港澳大湾区“菜篮子”（以下简称大湾区“菜篮子”）生产基地、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产品加工企业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、销售企业、承检机构涉及产品质量安全行为的监控和规范。</w:t>
      </w:r>
    </w:p>
    <w:p>
      <w:pPr>
        <w:widowControl/>
        <w:snapToGrid w:val="0"/>
        <w:spacing w:line="336" w:lineRule="auto"/>
        <w:ind w:firstLine="640" w:firstLineChars="200"/>
        <w:jc w:val="both"/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第三条  本方案旨在通过对源头进行有效管控，结合风险监测和产品抽检手段，建立从生产、加工、运输到销售的全过程质量安全监控体系，保证产品的质量安全。</w:t>
      </w:r>
    </w:p>
    <w:p>
      <w:pPr>
        <w:widowControl/>
        <w:snapToGrid w:val="0"/>
        <w:spacing w:line="336" w:lineRule="auto"/>
        <w:ind w:firstLine="640" w:firstLineChars="200"/>
        <w:jc w:val="both"/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 xml:space="preserve">第四条 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粤港澳大湾区“菜篮子”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农产品质量安全溯源管理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平台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（以下简称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大湾区“菜篮子”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溯源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平台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）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实行“逢进必检”“逢出必检”原则。所有进出大湾区“菜篮子”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溯源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平台的产品都必须按照风险监测计划、抽检规则、企业自检规定进行检测。</w:t>
      </w:r>
    </w:p>
    <w:p>
      <w:pPr>
        <w:widowControl/>
        <w:snapToGrid w:val="0"/>
        <w:spacing w:line="336" w:lineRule="auto"/>
        <w:ind w:firstLine="640" w:firstLineChars="200"/>
        <w:jc w:val="both"/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第五条  各属地相关行政部门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或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海关在职责范围内，负责所辖区域大湾区“菜篮子”生产基地、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产品加工企业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、销售企业、承检机构的监督管理工作。</w:t>
      </w:r>
    </w:p>
    <w:p>
      <w:pPr>
        <w:widowControl w:val="0"/>
        <w:snapToGrid w:val="0"/>
        <w:spacing w:line="336" w:lineRule="auto"/>
        <w:ind w:firstLine="640" w:firstLineChars="200"/>
        <w:jc w:val="both"/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 xml:space="preserve">第六条 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大湾区“菜篮子”生产基地、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产品加工企业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、销售企业、承检机构应当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使用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大湾区“菜篮子”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溯源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平台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，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遵守承诺，确保大湾区“菜篮子”产品的质量安全，自觉维护大湾区“菜篮子”品牌的信誉。</w:t>
      </w:r>
    </w:p>
    <w:p>
      <w:pPr>
        <w:widowControl/>
        <w:snapToGrid w:val="0"/>
        <w:spacing w:line="336" w:lineRule="auto"/>
        <w:ind w:firstLine="640" w:firstLineChars="200"/>
        <w:jc w:val="both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</w:rPr>
        <w:t>第七条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</w:rPr>
        <w:t>大湾区“菜篮子”生产基地或产品加工企业应在大湾区“菜篮子”溯源平台登记生产基地或产品加工企业简介、产品介绍、主要农事记录、供港澳资质证明、大湾区“菜篮子”生产基地或产品加工企业认定证书、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</w:rPr>
        <w:t>个月内的产品自检报告等信息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</w:rPr>
        <w:t>并经粤港澳大湾区“菜篮子”工作办公室审核通过后，才能使用大湾区“菜篮子”溯源平台和标识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。</w:t>
      </w:r>
    </w:p>
    <w:p>
      <w:pPr>
        <w:widowControl/>
        <w:snapToGrid w:val="0"/>
        <w:spacing w:line="336" w:lineRule="auto"/>
        <w:ind w:firstLine="640" w:firstLineChars="200"/>
        <w:jc w:val="both"/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第八条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大湾区“菜篮子”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溯源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平台建立准入与退出机制，对大湾区“菜篮子”生产基地、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产品加工企业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、销售企业、承检机构实行动态管理，确保全过程、各环节符合本方案要求。</w:t>
      </w:r>
    </w:p>
    <w:p>
      <w:pPr>
        <w:widowControl/>
        <w:snapToGrid w:val="0"/>
        <w:spacing w:line="336" w:lineRule="auto"/>
        <w:jc w:val="both"/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</w:pPr>
    </w:p>
    <w:p>
      <w:pPr>
        <w:widowControl w:val="0"/>
        <w:spacing w:line="336" w:lineRule="auto"/>
        <w:ind w:firstLine="0" w:firstLineChars="0"/>
        <w:jc w:val="center"/>
        <w:rPr>
          <w:rFonts w:ascii="Times New Roman" w:hAnsi="Times New Roman" w:eastAsia="黑体" w:cs="Times New Roman"/>
          <w:color w:val="auto"/>
          <w:kern w:val="0"/>
          <w:sz w:val="32"/>
          <w:szCs w:val="32"/>
          <w:lang w:val="en-US" w:eastAsia="zh-CN" w:bidi="ar-SA"/>
        </w:rPr>
      </w:pPr>
      <w:r>
        <w:rPr>
          <w:rFonts w:ascii="Times New Roman" w:hAnsi="黑体" w:eastAsia="黑体" w:cs="Times New Roman"/>
          <w:color w:val="auto"/>
          <w:kern w:val="0"/>
          <w:sz w:val="32"/>
          <w:szCs w:val="32"/>
          <w:lang w:val="en-US" w:eastAsia="zh-CN" w:bidi="ar-SA"/>
        </w:rPr>
        <w:t>第二章</w:t>
      </w:r>
      <w:r>
        <w:rPr>
          <w:rFonts w:ascii="Times New Roman" w:hAnsi="Times New Roman" w:eastAsia="黑体" w:cs="Times New Roman"/>
          <w:color w:val="auto"/>
          <w:kern w:val="0"/>
          <w:sz w:val="32"/>
          <w:szCs w:val="32"/>
          <w:lang w:val="en-US" w:eastAsia="zh-CN" w:bidi="ar-SA"/>
        </w:rPr>
        <w:t xml:space="preserve">  </w:t>
      </w:r>
      <w:r>
        <w:rPr>
          <w:rFonts w:ascii="Times New Roman" w:hAnsi="黑体" w:eastAsia="黑体" w:cs="Times New Roman"/>
          <w:color w:val="auto"/>
          <w:kern w:val="0"/>
          <w:sz w:val="32"/>
          <w:szCs w:val="32"/>
          <w:lang w:val="en-US" w:eastAsia="zh-CN" w:bidi="ar-SA"/>
        </w:rPr>
        <w:t>生产基地管理</w:t>
      </w:r>
    </w:p>
    <w:p>
      <w:pPr>
        <w:widowControl/>
        <w:snapToGrid w:val="0"/>
        <w:spacing w:line="336" w:lineRule="auto"/>
        <w:ind w:firstLine="640" w:firstLineChars="200"/>
        <w:jc w:val="both"/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</w:pPr>
    </w:p>
    <w:p>
      <w:pPr>
        <w:spacing w:line="336" w:lineRule="auto"/>
        <w:ind w:firstLine="640" w:firstLineChars="200"/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第九条  各属地相关行政部门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或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海关按照属地管理原则，对生产基地的生产过程、农业投入品的使用进行监督管理。</w:t>
      </w:r>
    </w:p>
    <w:p>
      <w:pPr>
        <w:spacing w:line="336" w:lineRule="auto"/>
        <w:ind w:firstLine="640" w:firstLineChars="200"/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第十条  生产基地应建立健全内部管理制度，如实记录农事活动。种植基地应记录农业投入品（种子、农药、化肥等）的使用及产品采收等情况；养殖基地应记录饲料、药物、疫苗、消毒产品使用及出栏/捕捞等情况。</w:t>
      </w:r>
    </w:p>
    <w:p>
      <w:pPr>
        <w:spacing w:line="336" w:lineRule="auto"/>
        <w:ind w:firstLine="640" w:firstLineChars="200"/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第十一条  生产基地使用的农业投入品必须是国家法律法规允许的产品，不得使用禁用药物，不得超范围、超量用药，并严格遵守用药安全间隔期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规定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。</w:t>
      </w:r>
    </w:p>
    <w:p>
      <w:pPr>
        <w:spacing w:line="336" w:lineRule="auto"/>
        <w:ind w:firstLine="640" w:firstLineChars="200"/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第十二条  鼓励生产基地申请绿色食品、有机食品、地理标志产品等认证，提升种植和养殖管理水平。</w:t>
      </w:r>
    </w:p>
    <w:p>
      <w:pPr>
        <w:widowControl w:val="0"/>
        <w:spacing w:line="336" w:lineRule="auto"/>
        <w:ind w:firstLine="640" w:firstLineChars="200"/>
        <w:jc w:val="both"/>
        <w:rPr>
          <w:rFonts w:ascii="Times New Roman" w:hAnsi="黑体" w:eastAsia="黑体" w:cs="Times New Roman"/>
          <w:color w:val="auto"/>
          <w:kern w:val="0"/>
          <w:sz w:val="32"/>
          <w:szCs w:val="32"/>
          <w:lang w:val="en-US" w:eastAsia="zh-CN" w:bidi="ar-SA"/>
        </w:rPr>
      </w:pPr>
    </w:p>
    <w:p>
      <w:pPr>
        <w:widowControl w:val="0"/>
        <w:spacing w:line="336" w:lineRule="auto"/>
        <w:ind w:firstLine="640" w:firstLineChars="200"/>
        <w:jc w:val="center"/>
        <w:rPr>
          <w:rFonts w:ascii="Times New Roman" w:hAnsi="Times New Roman" w:eastAsia="黑体" w:cs="Times New Roman"/>
          <w:color w:val="auto"/>
          <w:kern w:val="0"/>
          <w:sz w:val="32"/>
          <w:szCs w:val="32"/>
          <w:lang w:val="en-US" w:eastAsia="zh-CN" w:bidi="ar-SA"/>
        </w:rPr>
      </w:pPr>
      <w:r>
        <w:rPr>
          <w:rFonts w:ascii="Times New Roman" w:hAnsi="黑体" w:eastAsia="黑体" w:cs="Times New Roman"/>
          <w:color w:val="auto"/>
          <w:kern w:val="0"/>
          <w:sz w:val="32"/>
          <w:szCs w:val="32"/>
          <w:lang w:val="en-US" w:eastAsia="zh-CN" w:bidi="ar-SA"/>
        </w:rPr>
        <w:t>第三章</w:t>
      </w:r>
      <w:r>
        <w:rPr>
          <w:rFonts w:ascii="Times New Roman" w:hAnsi="Times New Roman" w:eastAsia="黑体" w:cs="Times New Roman"/>
          <w:color w:val="auto"/>
          <w:kern w:val="0"/>
          <w:sz w:val="32"/>
          <w:szCs w:val="32"/>
          <w:lang w:val="en-US" w:eastAsia="zh-CN" w:bidi="ar-SA"/>
        </w:rPr>
        <w:t xml:space="preserve">  </w:t>
      </w:r>
      <w:r>
        <w:rPr>
          <w:rFonts w:hint="eastAsia" w:ascii="Times New Roman" w:hAnsi="黑体" w:eastAsia="黑体" w:cs="Times New Roman"/>
          <w:color w:val="auto"/>
          <w:kern w:val="0"/>
          <w:sz w:val="32"/>
          <w:szCs w:val="32"/>
          <w:lang w:val="en-US" w:eastAsia="zh-CN" w:bidi="ar-SA"/>
        </w:rPr>
        <w:t>产品加工企业</w:t>
      </w:r>
      <w:r>
        <w:rPr>
          <w:rFonts w:ascii="Times New Roman" w:hAnsi="黑体" w:eastAsia="黑体" w:cs="Times New Roman"/>
          <w:color w:val="auto"/>
          <w:kern w:val="0"/>
          <w:sz w:val="32"/>
          <w:szCs w:val="32"/>
          <w:lang w:val="en-US" w:eastAsia="zh-CN" w:bidi="ar-SA"/>
        </w:rPr>
        <w:t>管理</w:t>
      </w:r>
    </w:p>
    <w:p>
      <w:pPr>
        <w:widowControl/>
        <w:snapToGrid w:val="0"/>
        <w:spacing w:line="336" w:lineRule="auto"/>
        <w:ind w:firstLine="640" w:firstLineChars="200"/>
        <w:jc w:val="both"/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</w:pPr>
    </w:p>
    <w:p>
      <w:pPr>
        <w:spacing w:line="336" w:lineRule="auto"/>
        <w:ind w:firstLine="640" w:firstLineChars="200"/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第十三条  各属地相关行政部门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或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海关根据职能要求对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产品加工企业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的生产过程进行监管。</w:t>
      </w:r>
    </w:p>
    <w:p>
      <w:pPr>
        <w:widowControl/>
        <w:snapToGrid w:val="0"/>
        <w:spacing w:line="336" w:lineRule="auto"/>
        <w:ind w:firstLine="640" w:firstLineChars="200"/>
        <w:jc w:val="both"/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 xml:space="preserve">第十四条  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产品加工企业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应当建立原料进货查验记录制度，核查进厂原料随附的原料基地证明文件。进货查验记录应当真实，保存期限不得少于2年。</w:t>
      </w:r>
    </w:p>
    <w:p>
      <w:pPr>
        <w:widowControl/>
        <w:snapToGrid w:val="0"/>
        <w:spacing w:line="336" w:lineRule="auto"/>
        <w:ind w:firstLine="640" w:firstLineChars="200"/>
        <w:jc w:val="both"/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 xml:space="preserve">第十五条  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产品加工企业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应当建立出厂检验记录制度，依照</w:t>
      </w:r>
      <w:r>
        <w:rPr>
          <w:rFonts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</w:rPr>
        <w:t>粤港澳大湾区“菜篮子”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eastAsia="zh-CN"/>
        </w:rPr>
        <w:t>平台产品质量安全指标体系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，结合生产基地用药情况和产品加工流程特点，有针对性地对其产品进行检验。如实记录出厂产品的名称、规格、数量、生产日期等内容。出厂检验记录应当真实，保存期限不得少于2年。</w:t>
      </w:r>
    </w:p>
    <w:p>
      <w:pPr>
        <w:widowControl/>
        <w:snapToGrid w:val="0"/>
        <w:spacing w:line="336" w:lineRule="auto"/>
        <w:ind w:firstLine="640" w:firstLineChars="200"/>
        <w:jc w:val="both"/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 xml:space="preserve">第十六条  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产品加工企业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应当在其产品运输包装和销售包装的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产品标识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上注明以下内容：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产品加工企业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名称、地址、证书编号、产品名称、生产日期、储存条件等。</w:t>
      </w:r>
    </w:p>
    <w:p>
      <w:pPr>
        <w:spacing w:line="336" w:lineRule="auto"/>
        <w:ind w:firstLine="640" w:firstLineChars="200"/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第十七条  鼓励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产品加工企业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采用先进加工技术和装备，如蔬果清洗、净化、分拣设备等。不得使用禁用的化学清洁剂、消毒剂以及其他影响农产品质量安全的物质。</w:t>
      </w:r>
    </w:p>
    <w:p>
      <w:pPr>
        <w:widowControl w:val="0"/>
        <w:spacing w:line="336" w:lineRule="auto"/>
        <w:ind w:firstLine="640" w:firstLineChars="200"/>
        <w:jc w:val="both"/>
        <w:rPr>
          <w:rFonts w:ascii="Times New Roman" w:hAnsi="黑体" w:eastAsia="黑体" w:cs="Times New Roman"/>
          <w:color w:val="auto"/>
          <w:kern w:val="0"/>
          <w:sz w:val="32"/>
          <w:szCs w:val="32"/>
          <w:lang w:val="en-US" w:eastAsia="zh-CN" w:bidi="ar-SA"/>
        </w:rPr>
      </w:pPr>
    </w:p>
    <w:p>
      <w:pPr>
        <w:widowControl w:val="0"/>
        <w:spacing w:line="336" w:lineRule="auto"/>
        <w:ind w:firstLine="640" w:firstLineChars="200"/>
        <w:jc w:val="center"/>
        <w:rPr>
          <w:rFonts w:ascii="Times New Roman" w:hAnsi="Times New Roman" w:eastAsia="黑体" w:cs="Times New Roman"/>
          <w:color w:val="auto"/>
          <w:kern w:val="0"/>
          <w:sz w:val="32"/>
          <w:szCs w:val="32"/>
          <w:lang w:val="en-US" w:eastAsia="zh-CN" w:bidi="ar-SA"/>
        </w:rPr>
      </w:pPr>
      <w:r>
        <w:rPr>
          <w:rFonts w:ascii="Times New Roman" w:hAnsi="黑体" w:eastAsia="黑体" w:cs="Times New Roman"/>
          <w:color w:val="auto"/>
          <w:kern w:val="0"/>
          <w:sz w:val="32"/>
          <w:szCs w:val="32"/>
          <w:lang w:val="en-US" w:eastAsia="zh-CN" w:bidi="ar-SA"/>
        </w:rPr>
        <w:t>第四章</w:t>
      </w:r>
      <w:r>
        <w:rPr>
          <w:rFonts w:ascii="Times New Roman" w:hAnsi="Times New Roman" w:eastAsia="黑体" w:cs="Times New Roman"/>
          <w:color w:val="auto"/>
          <w:kern w:val="0"/>
          <w:sz w:val="32"/>
          <w:szCs w:val="32"/>
          <w:lang w:val="en-US" w:eastAsia="zh-CN" w:bidi="ar-SA"/>
        </w:rPr>
        <w:t xml:space="preserve">  </w:t>
      </w:r>
      <w:r>
        <w:rPr>
          <w:rFonts w:ascii="Times New Roman" w:hAnsi="黑体" w:eastAsia="黑体" w:cs="Times New Roman"/>
          <w:color w:val="auto"/>
          <w:kern w:val="0"/>
          <w:sz w:val="32"/>
          <w:szCs w:val="32"/>
          <w:lang w:val="en-US" w:eastAsia="zh-CN" w:bidi="ar-SA"/>
        </w:rPr>
        <w:t>风险监测与抽检</w:t>
      </w:r>
    </w:p>
    <w:p>
      <w:pPr>
        <w:widowControl/>
        <w:snapToGrid w:val="0"/>
        <w:spacing w:line="336" w:lineRule="auto"/>
        <w:ind w:firstLine="640" w:firstLineChars="200"/>
        <w:jc w:val="both"/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</w:pPr>
    </w:p>
    <w:p>
      <w:pPr>
        <w:widowControl/>
        <w:snapToGrid w:val="0"/>
        <w:spacing w:line="336" w:lineRule="auto"/>
        <w:ind w:firstLine="640" w:firstLineChars="200"/>
        <w:jc w:val="both"/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第十八条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大湾区“菜篮子”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溯源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平台对生产基地和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产品加工企业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实行风险监测和抽检制度，生产基地和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产品加工企业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须主动配合风险监测计划和抽检制度的实施。</w:t>
      </w:r>
    </w:p>
    <w:p>
      <w:pPr>
        <w:widowControl/>
        <w:snapToGrid w:val="0"/>
        <w:spacing w:line="336" w:lineRule="auto"/>
        <w:ind w:firstLine="640" w:firstLineChars="200"/>
        <w:jc w:val="both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第十九条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风险监测计划由属地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农业农村部门或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海关依据</w:t>
      </w:r>
      <w:r>
        <w:rPr>
          <w:rFonts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</w:rPr>
        <w:t>粤港澳大湾区“菜篮子”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eastAsia="zh-CN"/>
        </w:rPr>
        <w:t>平台产品质量安全指标体系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，结合海关总署发布的供港澳农产品风险监测计划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或属地农产品风险监测计划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、各地用药情况、市场监管部门抽检情况等综合信息进行制定。风险监测计划每年进行动态调整。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各承检机构负责风险监测计划的执行。</w:t>
      </w:r>
    </w:p>
    <w:p>
      <w:pPr>
        <w:widowControl/>
        <w:snapToGrid w:val="0"/>
        <w:spacing w:line="336" w:lineRule="auto"/>
        <w:ind w:firstLine="640" w:firstLineChars="200"/>
        <w:jc w:val="both"/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第二十条  生产基地、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产品加工企业需通过平台进行溯源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的产品在进入大湾区“菜篮子”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溯源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平台之前均须进行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质量安全合格评定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评定合格的产品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可获得进入大湾区“菜篮子”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溯源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平台的资格。</w:t>
      </w:r>
    </w:p>
    <w:p>
      <w:pPr>
        <w:spacing w:line="336" w:lineRule="auto"/>
        <w:ind w:firstLine="640" w:firstLineChars="200"/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第二十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一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 xml:space="preserve">条  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</w:rPr>
        <w:t>承检机构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根据产品质量安全风险监测、抽检、合格评定以及产品生产实际情况采取不定期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抽检的方式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，对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在大湾区“菜篮子”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溯源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平台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登记的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生产基地、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产品加工企业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产品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质量安全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进行监控，由承检机构现场抽检或通知生产基地、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产品加工企业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取样送检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，相关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生产基地、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产品加工企业应当予以配合，不予配合的，取消其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大湾区“菜篮子”生产基地、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产品加工企业认定资格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。</w:t>
      </w:r>
    </w:p>
    <w:p>
      <w:pPr>
        <w:widowControl/>
        <w:snapToGrid w:val="0"/>
        <w:spacing w:line="336" w:lineRule="auto"/>
        <w:ind w:firstLine="640" w:firstLineChars="200"/>
        <w:jc w:val="both"/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第二十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二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条  抽检以定量检测为主，定性筛查为辅。定量检测项目依据生产基地用药情况和既往检测情况进行设定。</w:t>
      </w:r>
    </w:p>
    <w:p>
      <w:pPr>
        <w:widowControl/>
        <w:snapToGrid w:val="0"/>
        <w:spacing w:line="336" w:lineRule="auto"/>
        <w:ind w:firstLine="640" w:firstLineChars="200"/>
        <w:jc w:val="both"/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第二十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三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条  风险监测或抽检不合格的产品，暂停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该产品在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大湾区“菜篮子”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溯源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平台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的溯源查询资格和使用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大湾区“菜篮子”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产品标识资格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，由属地相关行政部门和海关进行不合格原因调查，监督指导生产基地、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产品加工企业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进行整改。承检机构须对该生产基地、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产品加工企业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的同类产品进行抽检，抽检合格后，承检机构上传检验合格报告，由大湾区“菜篮子”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溯源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平台恢复其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溯源查询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资格；抽检仍不合格的，暂停该产品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在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大湾区“菜篮子”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溯源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平台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的溯源查询资格和使用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大湾区“菜篮子”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产品标识资格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3个月，直至取消认定资格。</w:t>
      </w:r>
    </w:p>
    <w:p>
      <w:pPr>
        <w:widowControl/>
        <w:snapToGrid w:val="0"/>
        <w:spacing w:line="336" w:lineRule="auto"/>
        <w:ind w:firstLine="640" w:firstLineChars="200"/>
        <w:jc w:val="both"/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第二十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四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条  风险监测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和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抽检记录应保存3年以上，样品保存按相关标准执行。</w:t>
      </w:r>
    </w:p>
    <w:p>
      <w:pPr>
        <w:widowControl/>
        <w:snapToGrid w:val="0"/>
        <w:spacing w:line="336" w:lineRule="auto"/>
        <w:ind w:firstLine="640" w:firstLineChars="200"/>
        <w:jc w:val="both"/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</w:pPr>
    </w:p>
    <w:p>
      <w:pPr>
        <w:widowControl w:val="0"/>
        <w:spacing w:line="336" w:lineRule="auto"/>
        <w:ind w:firstLine="640" w:firstLineChars="200"/>
        <w:jc w:val="center"/>
        <w:rPr>
          <w:rFonts w:ascii="Times New Roman" w:hAnsi="Times New Roman" w:eastAsia="黑体" w:cs="Times New Roman"/>
          <w:color w:val="auto"/>
          <w:kern w:val="0"/>
          <w:sz w:val="32"/>
          <w:szCs w:val="32"/>
          <w:lang w:val="en-US" w:eastAsia="zh-CN" w:bidi="ar-SA"/>
        </w:rPr>
      </w:pPr>
      <w:r>
        <w:rPr>
          <w:rFonts w:ascii="Times New Roman" w:hAnsi="黑体" w:eastAsia="黑体" w:cs="Times New Roman"/>
          <w:color w:val="auto"/>
          <w:kern w:val="0"/>
          <w:sz w:val="32"/>
          <w:szCs w:val="32"/>
          <w:lang w:val="en-US" w:eastAsia="zh-CN" w:bidi="ar-SA"/>
        </w:rPr>
        <w:t>第五章</w:t>
      </w:r>
      <w:r>
        <w:rPr>
          <w:rFonts w:ascii="Times New Roman" w:hAnsi="Times New Roman" w:eastAsia="黑体" w:cs="Times New Roman"/>
          <w:color w:val="auto"/>
          <w:kern w:val="0"/>
          <w:sz w:val="32"/>
          <w:szCs w:val="32"/>
          <w:lang w:val="en-US" w:eastAsia="zh-CN" w:bidi="ar-SA"/>
        </w:rPr>
        <w:t xml:space="preserve">  </w:t>
      </w:r>
      <w:r>
        <w:rPr>
          <w:rFonts w:ascii="Times New Roman" w:hAnsi="黑体" w:eastAsia="黑体" w:cs="Times New Roman"/>
          <w:color w:val="auto"/>
          <w:kern w:val="0"/>
          <w:sz w:val="32"/>
          <w:szCs w:val="32"/>
          <w:lang w:val="en-US" w:eastAsia="zh-CN" w:bidi="ar-SA"/>
        </w:rPr>
        <w:t>合格评定与溯源二维码管理</w:t>
      </w:r>
    </w:p>
    <w:p>
      <w:pPr>
        <w:spacing w:line="336" w:lineRule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</w:p>
    <w:p>
      <w:pPr>
        <w:spacing w:line="336" w:lineRule="auto"/>
        <w:ind w:firstLine="640" w:firstLineChars="200"/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第二十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五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条  生产基地、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产品加工企业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应将自检报告上传至大湾区“菜篮子”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溯源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平台；承检机构应将风险监测报告、抽检报告上传至大湾区“菜篮子”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溯源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平台。</w:t>
      </w:r>
    </w:p>
    <w:p>
      <w:pPr>
        <w:spacing w:line="336" w:lineRule="auto"/>
        <w:ind w:firstLine="640" w:firstLineChars="200"/>
        <w:rPr>
          <w:rFonts w:hint="default"/>
          <w:color w:val="auto"/>
          <w:lang w:val="en-US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承检机构根据自检报告或风险监测报告、抽检报告，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给出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该产品是否符合</w:t>
      </w:r>
      <w:r>
        <w:rPr>
          <w:rFonts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</w:rPr>
        <w:t>粤港澳大湾区“菜篮子”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eastAsia="zh-CN"/>
        </w:rPr>
        <w:t>平台产品质量安全指标体系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的评定结论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粤港澳大湾区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</w:rPr>
        <w:t>“菜篮子”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eastAsia="zh-CN"/>
        </w:rPr>
        <w:t>工作办公室对承检机构的评定结果进行随机抽查，如出现违规行为，将依据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《粤港澳大湾区“菜篮子”产品配送中心质量安全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承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检机构管理规范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（试行）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》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进行相应处理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eastAsia="zh-CN"/>
        </w:rPr>
        <w:t>。</w:t>
      </w:r>
    </w:p>
    <w:p>
      <w:pPr>
        <w:spacing w:line="336" w:lineRule="auto"/>
        <w:ind w:firstLine="640" w:firstLineChars="200"/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第二十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六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条  经评定合格的产品方可激活溯源二维码，进入大湾区“菜篮子”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溯源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平台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登记并查询溯源信息和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使用大湾区“菜篮子”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产品标识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。</w:t>
      </w:r>
    </w:p>
    <w:p>
      <w:pPr>
        <w:spacing w:line="336" w:lineRule="auto"/>
        <w:ind w:firstLine="640" w:firstLineChars="200"/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第二十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七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条  对风险监测或抽检不合格的产品，在恢复上平台后将列为重点抽检对象，提高抽检频次。</w:t>
      </w:r>
    </w:p>
    <w:p>
      <w:pPr>
        <w:widowControl/>
        <w:snapToGrid w:val="0"/>
        <w:spacing w:line="336" w:lineRule="auto"/>
        <w:ind w:firstLine="640" w:firstLineChars="200"/>
        <w:jc w:val="both"/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</w:pPr>
    </w:p>
    <w:p>
      <w:pPr>
        <w:widowControl w:val="0"/>
        <w:spacing w:line="336" w:lineRule="auto"/>
        <w:ind w:firstLine="640" w:firstLineChars="200"/>
        <w:jc w:val="center"/>
        <w:rPr>
          <w:rFonts w:ascii="Times New Roman" w:hAnsi="Times New Roman" w:eastAsia="黑体" w:cs="Times New Roman"/>
          <w:color w:val="auto"/>
          <w:kern w:val="0"/>
          <w:sz w:val="32"/>
          <w:szCs w:val="32"/>
          <w:lang w:val="en-US" w:eastAsia="zh-CN" w:bidi="ar-SA"/>
        </w:rPr>
      </w:pPr>
      <w:r>
        <w:rPr>
          <w:rFonts w:ascii="Times New Roman" w:hAnsi="黑体" w:eastAsia="黑体" w:cs="Times New Roman"/>
          <w:color w:val="auto"/>
          <w:kern w:val="0"/>
          <w:sz w:val="32"/>
          <w:szCs w:val="32"/>
          <w:lang w:val="en-US" w:eastAsia="zh-CN" w:bidi="ar-SA"/>
        </w:rPr>
        <w:t>第六章</w:t>
      </w:r>
      <w:r>
        <w:rPr>
          <w:rFonts w:ascii="Times New Roman" w:hAnsi="Times New Roman" w:eastAsia="黑体" w:cs="Times New Roman"/>
          <w:color w:val="auto"/>
          <w:kern w:val="0"/>
          <w:sz w:val="32"/>
          <w:szCs w:val="32"/>
          <w:lang w:val="en-US" w:eastAsia="zh-CN" w:bidi="ar-SA"/>
        </w:rPr>
        <w:t xml:space="preserve">  </w:t>
      </w:r>
      <w:r>
        <w:rPr>
          <w:rFonts w:ascii="Times New Roman" w:hAnsi="黑体" w:eastAsia="黑体" w:cs="Times New Roman"/>
          <w:color w:val="auto"/>
          <w:kern w:val="0"/>
          <w:sz w:val="32"/>
          <w:szCs w:val="32"/>
          <w:lang w:val="en-US" w:eastAsia="zh-CN" w:bidi="ar-SA"/>
        </w:rPr>
        <w:t>监督管理</w:t>
      </w:r>
    </w:p>
    <w:p>
      <w:pPr>
        <w:widowControl/>
        <w:snapToGrid w:val="0"/>
        <w:spacing w:line="336" w:lineRule="auto"/>
        <w:ind w:firstLine="640" w:firstLineChars="200"/>
        <w:jc w:val="both"/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</w:pPr>
    </w:p>
    <w:p>
      <w:pPr>
        <w:widowControl/>
        <w:snapToGrid w:val="0"/>
        <w:spacing w:line="336" w:lineRule="auto"/>
        <w:ind w:firstLine="640" w:firstLineChars="200"/>
        <w:jc w:val="both"/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第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二十八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条  按照属地管理原则，各地相关行政部门和海关应对“菜篮子”生产基地和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产品加工企业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进行监督管理，发现问题应及时责令改正，必要时对其产品进行现场抽检，并将情况及时报送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粤港澳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大湾区“菜篮子”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工作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办公室。</w:t>
      </w:r>
    </w:p>
    <w:p>
      <w:pPr>
        <w:widowControl/>
        <w:snapToGrid w:val="0"/>
        <w:spacing w:line="336" w:lineRule="auto"/>
        <w:ind w:firstLine="640" w:firstLineChars="200"/>
        <w:jc w:val="both"/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第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二十九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 xml:space="preserve">条 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对生产基地的日常监督检查主要内容包括：</w:t>
      </w:r>
    </w:p>
    <w:p>
      <w:pPr>
        <w:widowControl/>
        <w:snapToGrid w:val="0"/>
        <w:spacing w:line="336" w:lineRule="auto"/>
        <w:ind w:firstLine="640" w:firstLineChars="200"/>
        <w:jc w:val="both"/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（一）生产基地周围环境状况；</w:t>
      </w:r>
    </w:p>
    <w:p>
      <w:pPr>
        <w:widowControl/>
        <w:snapToGrid w:val="0"/>
        <w:spacing w:line="336" w:lineRule="auto"/>
        <w:ind w:firstLine="640" w:firstLineChars="200"/>
        <w:jc w:val="both"/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（二）生产基地的位置和种植情况；</w:t>
      </w:r>
    </w:p>
    <w:p>
      <w:pPr>
        <w:widowControl/>
        <w:snapToGrid w:val="0"/>
        <w:spacing w:line="336" w:lineRule="auto"/>
        <w:ind w:firstLine="640" w:firstLineChars="200"/>
        <w:jc w:val="both"/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（三）出货数量与生产规模是否相匹配；</w:t>
      </w:r>
    </w:p>
    <w:p>
      <w:pPr>
        <w:widowControl/>
        <w:snapToGrid w:val="0"/>
        <w:spacing w:line="336" w:lineRule="auto"/>
        <w:ind w:firstLine="640" w:firstLineChars="200"/>
        <w:jc w:val="both"/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（四）生产记录是否完整、规范；</w:t>
      </w:r>
    </w:p>
    <w:p>
      <w:pPr>
        <w:widowControl/>
        <w:snapToGrid w:val="0"/>
        <w:spacing w:line="336" w:lineRule="auto"/>
        <w:ind w:firstLine="640" w:firstLineChars="200"/>
        <w:jc w:val="both"/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（五）病虫害防治情况；</w:t>
      </w:r>
    </w:p>
    <w:p>
      <w:pPr>
        <w:widowControl/>
        <w:snapToGrid w:val="0"/>
        <w:spacing w:line="336" w:lineRule="auto"/>
        <w:ind w:firstLine="640" w:firstLineChars="200"/>
        <w:jc w:val="both"/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（六）有毒有害物质检测记录。</w:t>
      </w:r>
    </w:p>
    <w:p>
      <w:pPr>
        <w:widowControl/>
        <w:snapToGrid w:val="0"/>
        <w:spacing w:line="336" w:lineRule="auto"/>
        <w:ind w:firstLine="640" w:firstLineChars="200"/>
        <w:jc w:val="both"/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第三十条  对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产品加工企业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的日常监督检查主要内容包括：</w:t>
      </w:r>
    </w:p>
    <w:p>
      <w:pPr>
        <w:widowControl/>
        <w:snapToGrid w:val="0"/>
        <w:spacing w:line="336" w:lineRule="auto"/>
        <w:ind w:firstLine="640" w:firstLineChars="200"/>
        <w:jc w:val="both"/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（一）生产区域环境状况；</w:t>
      </w:r>
    </w:p>
    <w:p>
      <w:pPr>
        <w:widowControl/>
        <w:snapToGrid w:val="0"/>
        <w:spacing w:line="336" w:lineRule="auto"/>
        <w:ind w:firstLine="640" w:firstLineChars="200"/>
        <w:jc w:val="both"/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（二）进货查验记录和出厂检验记录；</w:t>
      </w:r>
    </w:p>
    <w:p>
      <w:pPr>
        <w:widowControl/>
        <w:snapToGrid w:val="0"/>
        <w:spacing w:line="336" w:lineRule="auto"/>
        <w:ind w:firstLine="640" w:firstLineChars="200"/>
        <w:jc w:val="both"/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（三）加工原料证明文件查验情况；</w:t>
      </w:r>
    </w:p>
    <w:p>
      <w:pPr>
        <w:widowControl/>
        <w:snapToGrid w:val="0"/>
        <w:spacing w:line="336" w:lineRule="auto"/>
        <w:ind w:firstLine="640" w:firstLineChars="200"/>
        <w:jc w:val="both"/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（四）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产品标识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使用情况；</w:t>
      </w:r>
    </w:p>
    <w:p>
      <w:pPr>
        <w:widowControl/>
        <w:snapToGrid w:val="0"/>
        <w:spacing w:line="336" w:lineRule="auto"/>
        <w:ind w:firstLine="640" w:firstLineChars="200"/>
        <w:jc w:val="both"/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（五）质量安全自检自控体系运行情况；</w:t>
      </w:r>
    </w:p>
    <w:p>
      <w:pPr>
        <w:widowControl/>
        <w:snapToGrid w:val="0"/>
        <w:spacing w:line="336" w:lineRule="auto"/>
        <w:ind w:firstLine="640" w:firstLineChars="200"/>
        <w:jc w:val="both"/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（六）有毒有害物质监控记录。</w:t>
      </w:r>
    </w:p>
    <w:p>
      <w:pPr>
        <w:widowControl/>
        <w:snapToGrid w:val="0"/>
        <w:spacing w:line="336" w:lineRule="auto"/>
        <w:ind w:firstLine="640" w:firstLineChars="200"/>
        <w:jc w:val="both"/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第三十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一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条  生产基地有下列情形之一的，责令整改：</w:t>
      </w:r>
    </w:p>
    <w:p>
      <w:pPr>
        <w:widowControl/>
        <w:snapToGrid w:val="0"/>
        <w:spacing w:line="336" w:lineRule="auto"/>
        <w:ind w:firstLine="640" w:firstLineChars="200"/>
        <w:jc w:val="both"/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（一）周围环境有污染源的；</w:t>
      </w:r>
    </w:p>
    <w:p>
      <w:pPr>
        <w:widowControl/>
        <w:snapToGrid w:val="0"/>
        <w:spacing w:line="336" w:lineRule="auto"/>
        <w:ind w:firstLine="640" w:firstLineChars="200"/>
        <w:jc w:val="both"/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（二）存放禁用农兽药的；</w:t>
      </w:r>
    </w:p>
    <w:p>
      <w:pPr>
        <w:widowControl/>
        <w:snapToGrid w:val="0"/>
        <w:spacing w:line="336" w:lineRule="auto"/>
        <w:ind w:firstLine="640" w:firstLineChars="200"/>
        <w:jc w:val="both"/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（三）违反相关规定以及基地安全用药制度，违规使用农兽药的；</w:t>
      </w:r>
    </w:p>
    <w:p>
      <w:pPr>
        <w:widowControl/>
        <w:snapToGrid w:val="0"/>
        <w:spacing w:line="336" w:lineRule="auto"/>
        <w:ind w:firstLine="640" w:firstLineChars="200"/>
        <w:jc w:val="both"/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（四）产品的药物残留或者有毒有害物质超标的；</w:t>
      </w:r>
    </w:p>
    <w:p>
      <w:pPr>
        <w:widowControl/>
        <w:snapToGrid w:val="0"/>
        <w:spacing w:line="336" w:lineRule="auto"/>
        <w:ind w:firstLine="640" w:firstLineChars="200"/>
        <w:jc w:val="both"/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（五）生产基地实际供货量超出基地供货能力的。</w:t>
      </w:r>
    </w:p>
    <w:p>
      <w:pPr>
        <w:widowControl/>
        <w:snapToGrid w:val="0"/>
        <w:spacing w:line="336" w:lineRule="auto"/>
        <w:ind w:firstLine="640" w:firstLineChars="200"/>
        <w:jc w:val="both"/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第三十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二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 xml:space="preserve">条  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产品加工企业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有下列情形之一的，责令整改：</w:t>
      </w:r>
    </w:p>
    <w:p>
      <w:pPr>
        <w:widowControl/>
        <w:snapToGrid w:val="0"/>
        <w:spacing w:line="336" w:lineRule="auto"/>
        <w:ind w:firstLine="640" w:firstLineChars="200"/>
        <w:jc w:val="both"/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（一）质量管理体系运行不良的；</w:t>
      </w:r>
    </w:p>
    <w:p>
      <w:pPr>
        <w:widowControl/>
        <w:snapToGrid w:val="0"/>
        <w:spacing w:line="336" w:lineRule="auto"/>
        <w:ind w:firstLine="640" w:firstLineChars="200"/>
        <w:jc w:val="both"/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（二）设施设备与生产能力不相适应的；</w:t>
      </w:r>
    </w:p>
    <w:p>
      <w:pPr>
        <w:widowControl/>
        <w:snapToGrid w:val="0"/>
        <w:spacing w:line="336" w:lineRule="auto"/>
        <w:ind w:firstLine="640" w:firstLineChars="200"/>
        <w:jc w:val="both"/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（三）进货查验记录和出厂检验记录不全的；</w:t>
      </w:r>
    </w:p>
    <w:p>
      <w:pPr>
        <w:widowControl/>
        <w:snapToGrid w:val="0"/>
        <w:spacing w:line="336" w:lineRule="auto"/>
        <w:ind w:firstLine="640" w:firstLineChars="200"/>
        <w:jc w:val="both"/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（四）违反规定收购非生产基地原料作为供大湾区“菜篮子”产品加工原料的；</w:t>
      </w:r>
    </w:p>
    <w:p>
      <w:pPr>
        <w:widowControl/>
        <w:snapToGrid w:val="0"/>
        <w:spacing w:line="336" w:lineRule="auto"/>
        <w:ind w:firstLine="640" w:firstLineChars="200"/>
        <w:jc w:val="both"/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（五）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产品标识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使用不符合要求的；</w:t>
      </w:r>
    </w:p>
    <w:p>
      <w:pPr>
        <w:widowControl/>
        <w:snapToGrid w:val="0"/>
        <w:spacing w:line="336" w:lineRule="auto"/>
        <w:ind w:firstLine="640" w:firstLineChars="200"/>
        <w:jc w:val="both"/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（六）产品的药物残留或者有毒有害物质超标的；</w:t>
      </w:r>
    </w:p>
    <w:p>
      <w:pPr>
        <w:widowControl/>
        <w:snapToGrid w:val="0"/>
        <w:spacing w:line="336" w:lineRule="auto"/>
        <w:ind w:firstLine="640" w:firstLineChars="200"/>
        <w:jc w:val="both"/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（七）产品被其他部门抽检并通报不合格的。</w:t>
      </w:r>
    </w:p>
    <w:p>
      <w:pPr>
        <w:widowControl/>
        <w:snapToGrid w:val="0"/>
        <w:spacing w:line="336" w:lineRule="auto"/>
        <w:ind w:firstLine="640" w:firstLineChars="200"/>
        <w:jc w:val="both"/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第三十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三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条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 xml:space="preserve"> 生产基地有下列行为之一的，</w:t>
      </w:r>
      <w:bookmarkStart w:id="0" w:name="_Hlk26912077"/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取消认定资格</w:t>
      </w:r>
      <w:bookmarkEnd w:id="0"/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：</w:t>
      </w:r>
    </w:p>
    <w:p>
      <w:pPr>
        <w:widowControl/>
        <w:snapToGrid w:val="0"/>
        <w:spacing w:line="336" w:lineRule="auto"/>
        <w:ind w:firstLine="640" w:firstLineChars="200"/>
        <w:jc w:val="both"/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（一）隐瞒或者谎报重大疫情的；</w:t>
      </w:r>
    </w:p>
    <w:p>
      <w:pPr>
        <w:widowControl/>
        <w:snapToGrid w:val="0"/>
        <w:spacing w:line="336" w:lineRule="auto"/>
        <w:ind w:firstLine="640" w:firstLineChars="200"/>
        <w:jc w:val="both"/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（二）拒绝接受监督管理的；</w:t>
      </w:r>
    </w:p>
    <w:p>
      <w:pPr>
        <w:widowControl/>
        <w:snapToGrid w:val="0"/>
        <w:spacing w:line="336" w:lineRule="auto"/>
        <w:ind w:firstLine="640" w:firstLineChars="200"/>
        <w:jc w:val="both"/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（三）使用港澳和内地禁用农（兽）药的；</w:t>
      </w:r>
    </w:p>
    <w:p>
      <w:pPr>
        <w:widowControl/>
        <w:snapToGrid w:val="0"/>
        <w:spacing w:line="336" w:lineRule="auto"/>
        <w:ind w:firstLine="640" w:firstLineChars="200"/>
        <w:jc w:val="both"/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（四）药物残留或者有毒有害物质超标1年内达到3次的；</w:t>
      </w:r>
    </w:p>
    <w:p>
      <w:pPr>
        <w:widowControl/>
        <w:snapToGrid w:val="0"/>
        <w:spacing w:line="336" w:lineRule="auto"/>
        <w:ind w:firstLine="640" w:firstLineChars="200"/>
        <w:jc w:val="both"/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（五）被检出药物残留与申报或者药物使用记录不符的；</w:t>
      </w:r>
    </w:p>
    <w:p>
      <w:pPr>
        <w:widowControl/>
        <w:snapToGrid w:val="0"/>
        <w:spacing w:line="336" w:lineRule="auto"/>
        <w:ind w:firstLine="640" w:firstLineChars="200"/>
        <w:jc w:val="both"/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（六）生产基地备案主体更名、基地位置或者面积发生变化、周边环境有较大改变可能直接或者间接影响基地产品质量安全的，以及有其他较大变更情况的，但未按规定及时办理变更手续或者重新申请认定的；</w:t>
      </w:r>
    </w:p>
    <w:p>
      <w:pPr>
        <w:widowControl/>
        <w:snapToGrid w:val="0"/>
        <w:spacing w:line="336" w:lineRule="auto"/>
        <w:ind w:firstLine="640" w:firstLineChars="200"/>
        <w:jc w:val="both"/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（七）</w:t>
      </w:r>
      <w:bookmarkStart w:id="1" w:name="_Hlk26912152"/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无正当理由连续6个月内未在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大湾区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“菜篮子”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溯源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平台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登记产品溯源信息的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；</w:t>
      </w:r>
      <w:bookmarkEnd w:id="1"/>
    </w:p>
    <w:p>
      <w:pPr>
        <w:widowControl/>
        <w:snapToGrid w:val="0"/>
        <w:spacing w:line="336" w:lineRule="auto"/>
        <w:ind w:firstLine="640" w:firstLineChars="200"/>
        <w:jc w:val="both"/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（八）基地实际供货量超出基地供货能力1年内达到3次的；</w:t>
      </w:r>
    </w:p>
    <w:p>
      <w:pPr>
        <w:widowControl/>
        <w:snapToGrid w:val="0"/>
        <w:spacing w:line="336" w:lineRule="auto"/>
        <w:ind w:firstLine="640" w:firstLineChars="200"/>
        <w:jc w:val="both"/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（九）在日常监督中不合格的，责令限期整改，整改后仍不合格的。</w:t>
      </w:r>
    </w:p>
    <w:p>
      <w:pPr>
        <w:widowControl/>
        <w:snapToGrid w:val="0"/>
        <w:spacing w:line="336" w:lineRule="auto"/>
        <w:ind w:firstLine="640" w:firstLineChars="200"/>
        <w:jc w:val="both"/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第三十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四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 xml:space="preserve">条  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产品加工企业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有下列行为之一的，取消认定资格：</w:t>
      </w:r>
    </w:p>
    <w:p>
      <w:pPr>
        <w:widowControl/>
        <w:snapToGrid w:val="0"/>
        <w:spacing w:line="336" w:lineRule="auto"/>
        <w:ind w:firstLine="640" w:firstLineChars="200"/>
        <w:jc w:val="both"/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（一）整改后仍不合格的；</w:t>
      </w:r>
    </w:p>
    <w:p>
      <w:pPr>
        <w:widowControl/>
        <w:snapToGrid w:val="0"/>
        <w:spacing w:line="336" w:lineRule="auto"/>
        <w:ind w:firstLine="640" w:firstLineChars="200"/>
        <w:jc w:val="both"/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（二）隐瞒或者谎报重大质量安全问题的；</w:t>
      </w:r>
    </w:p>
    <w:p>
      <w:pPr>
        <w:widowControl/>
        <w:snapToGrid w:val="0"/>
        <w:spacing w:line="336" w:lineRule="auto"/>
        <w:ind w:firstLine="640" w:firstLineChars="200"/>
        <w:jc w:val="both"/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（三）被有关部门通报质量安全不合格1年内达到3次的；</w:t>
      </w:r>
    </w:p>
    <w:p>
      <w:pPr>
        <w:widowControl/>
        <w:snapToGrid w:val="0"/>
        <w:spacing w:line="336" w:lineRule="auto"/>
        <w:ind w:firstLine="640" w:firstLineChars="200"/>
        <w:jc w:val="both"/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（四）企业法定代表人和企业名称发生变化、生产车间地址变化或者有其他较大变更情况的，但未按规定及时办理变更手续的；</w:t>
      </w:r>
    </w:p>
    <w:p>
      <w:pPr>
        <w:widowControl/>
        <w:snapToGrid w:val="0"/>
        <w:spacing w:line="336" w:lineRule="auto"/>
        <w:ind w:firstLine="640" w:firstLineChars="200"/>
        <w:jc w:val="both"/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（五）无正当理由连续6个月内未在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大湾区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“菜篮子”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溯源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平台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登记产品溯源信息的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。</w:t>
      </w:r>
    </w:p>
    <w:p>
      <w:pPr>
        <w:widowControl/>
        <w:snapToGrid w:val="0"/>
        <w:spacing w:line="336" w:lineRule="auto"/>
        <w:ind w:firstLine="640" w:firstLineChars="200"/>
        <w:jc w:val="both"/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第三十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五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 xml:space="preserve">条 </w:t>
      </w:r>
      <w:bookmarkStart w:id="2" w:name="_Hlk27343689"/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 xml:space="preserve"> 粤港澳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大湾区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“菜篮子”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工作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办公室</w:t>
      </w:r>
      <w:bookmarkEnd w:id="2"/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不定期对认定的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大湾区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“菜篮子”销售企业进行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产品标识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使用随机检查，发现违规者责令整改，情节严重的取消其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大湾区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“菜篮子”销售企业资格。</w:t>
      </w:r>
    </w:p>
    <w:p>
      <w:pPr>
        <w:widowControl/>
        <w:snapToGrid w:val="0"/>
        <w:spacing w:line="336" w:lineRule="auto"/>
        <w:ind w:firstLine="640" w:firstLineChars="200"/>
        <w:jc w:val="both"/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第三十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六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 xml:space="preserve">条 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粤港澳大湾区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“菜篮子”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工作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办公室对各地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大湾区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“菜篮子”生产基地、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产品加工企业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、销售企业和承检机构实施随机检查和专项督查。检查的对象、频次和内容根据各地实际情况而定。</w:t>
      </w:r>
    </w:p>
    <w:p>
      <w:pPr>
        <w:widowControl/>
        <w:snapToGrid w:val="0"/>
        <w:spacing w:line="336" w:lineRule="auto"/>
        <w:ind w:firstLine="640" w:firstLineChars="200"/>
        <w:jc w:val="both"/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</w:pPr>
    </w:p>
    <w:p>
      <w:pPr>
        <w:widowControl w:val="0"/>
        <w:spacing w:line="336" w:lineRule="auto"/>
        <w:ind w:firstLine="640" w:firstLineChars="200"/>
        <w:jc w:val="center"/>
        <w:rPr>
          <w:rFonts w:ascii="Times New Roman" w:hAnsi="Times New Roman" w:eastAsia="黑体" w:cs="Times New Roman"/>
          <w:color w:val="auto"/>
          <w:kern w:val="0"/>
          <w:sz w:val="32"/>
          <w:szCs w:val="32"/>
          <w:lang w:val="en-US" w:eastAsia="zh-CN" w:bidi="ar-SA"/>
        </w:rPr>
      </w:pPr>
      <w:r>
        <w:rPr>
          <w:rFonts w:ascii="Times New Roman" w:hAnsi="黑体" w:eastAsia="黑体" w:cs="Times New Roman"/>
          <w:color w:val="auto"/>
          <w:kern w:val="0"/>
          <w:sz w:val="32"/>
          <w:szCs w:val="32"/>
          <w:lang w:val="en-US" w:eastAsia="zh-CN" w:bidi="ar-SA"/>
        </w:rPr>
        <w:t>第七章</w:t>
      </w:r>
      <w:r>
        <w:rPr>
          <w:rFonts w:ascii="Times New Roman" w:hAnsi="Times New Roman" w:eastAsia="黑体" w:cs="Times New Roman"/>
          <w:color w:val="auto"/>
          <w:kern w:val="0"/>
          <w:sz w:val="32"/>
          <w:szCs w:val="32"/>
          <w:lang w:val="en-US" w:eastAsia="zh-CN" w:bidi="ar-SA"/>
        </w:rPr>
        <w:t xml:space="preserve">  </w:t>
      </w:r>
      <w:r>
        <w:rPr>
          <w:rFonts w:ascii="Times New Roman" w:hAnsi="黑体" w:eastAsia="黑体" w:cs="Times New Roman"/>
          <w:color w:val="auto"/>
          <w:kern w:val="0"/>
          <w:sz w:val="32"/>
          <w:szCs w:val="32"/>
          <w:lang w:val="en-US" w:eastAsia="zh-CN" w:bidi="ar-SA"/>
        </w:rPr>
        <w:t>附</w:t>
      </w:r>
      <w:r>
        <w:rPr>
          <w:rFonts w:ascii="Times New Roman" w:hAnsi="Times New Roman" w:eastAsia="黑体" w:cs="Times New Roman"/>
          <w:color w:val="auto"/>
          <w:kern w:val="0"/>
          <w:sz w:val="32"/>
          <w:szCs w:val="32"/>
          <w:lang w:val="en-US" w:eastAsia="zh-CN" w:bidi="ar-SA"/>
        </w:rPr>
        <w:t xml:space="preserve">  </w:t>
      </w:r>
      <w:r>
        <w:rPr>
          <w:rFonts w:ascii="Times New Roman" w:hAnsi="黑体" w:eastAsia="黑体" w:cs="Times New Roman"/>
          <w:color w:val="auto"/>
          <w:kern w:val="0"/>
          <w:sz w:val="32"/>
          <w:szCs w:val="32"/>
          <w:lang w:val="en-US" w:eastAsia="zh-CN" w:bidi="ar-SA"/>
        </w:rPr>
        <w:t>则</w:t>
      </w:r>
    </w:p>
    <w:p>
      <w:pPr>
        <w:widowControl/>
        <w:snapToGrid w:val="0"/>
        <w:spacing w:line="336" w:lineRule="auto"/>
        <w:ind w:firstLine="640" w:firstLineChars="200"/>
        <w:jc w:val="both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</w:pPr>
    </w:p>
    <w:p>
      <w:pPr>
        <w:widowControl/>
        <w:snapToGrid w:val="0"/>
        <w:spacing w:line="336" w:lineRule="auto"/>
        <w:ind w:firstLine="640" w:firstLineChars="200"/>
        <w:jc w:val="both"/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第三十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七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 xml:space="preserve">条  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本方案所称的粤港澳大湾区“菜篮子”工作办公室，是指广州市农业农村局设立的负责落实“菜篮子”工作领导小组确定的有关任务，统筹协调、政策制定、整体推进和督促落实粤港澳大湾区“菜篮子”建设发展事务的工作办公室。</w:t>
      </w:r>
    </w:p>
    <w:p>
      <w:pPr>
        <w:widowControl w:val="0"/>
        <w:snapToGrid w:val="0"/>
        <w:spacing w:line="336" w:lineRule="auto"/>
        <w:ind w:firstLine="640" w:firstLineChars="200"/>
        <w:jc w:val="both"/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第三十八条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本方案所称的生产基地，是指获得所在地农业行政主管部门审核推荐、经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广州市农业农村局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核准认定的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粤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港澳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大湾区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“菜篮子”农产品生产基地。</w:t>
      </w:r>
    </w:p>
    <w:p>
      <w:pPr>
        <w:widowControl/>
        <w:snapToGrid w:val="0"/>
        <w:spacing w:line="336" w:lineRule="auto"/>
        <w:ind w:firstLine="640" w:firstLineChars="200"/>
        <w:jc w:val="both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第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三十九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 xml:space="preserve">条  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本方案所称的产品加工企业，是指经广州市农业农村局核准认定的初加工产品的产品加工企业（包括蔬菜、水果、食用油、禽畜产品、乳品、蜂产品和水产品等七大类）。</w:t>
      </w:r>
    </w:p>
    <w:p>
      <w:pPr>
        <w:widowControl/>
        <w:snapToGrid w:val="0"/>
        <w:spacing w:line="336" w:lineRule="auto"/>
        <w:ind w:firstLine="640" w:firstLineChars="200"/>
        <w:jc w:val="both"/>
        <w:rPr>
          <w:color w:val="0000FF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第四十条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 xml:space="preserve">  本方案所称的自检报告，是指各相关部门和海关对生产基地、产品加工企业的产品抽检报告以及生产基地、产品加工企业委托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有资质检测机构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出具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的检测报告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。</w:t>
      </w:r>
    </w:p>
    <w:p>
      <w:pPr>
        <w:widowControl/>
        <w:snapToGrid w:val="0"/>
        <w:spacing w:line="336" w:lineRule="auto"/>
        <w:ind w:firstLine="640" w:firstLineChars="200"/>
        <w:jc w:val="both"/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第四十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一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条  承检机构的资质认定、监督和评价按《粤港澳大湾区“菜篮子”产品配送中心质量安全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承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检机构管理规范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（试行）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》执行。</w:t>
      </w:r>
    </w:p>
    <w:p>
      <w:pPr>
        <w:widowControl/>
        <w:snapToGrid w:val="0"/>
        <w:spacing w:line="336" w:lineRule="auto"/>
        <w:ind w:firstLine="640" w:firstLineChars="200"/>
        <w:jc w:val="both"/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第四十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二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条  生产基地、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产品加工企业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的诚信评价按《粤港澳大湾区“菜篮子”企业诚信管理意见》执行。</w:t>
      </w:r>
    </w:p>
    <w:p>
      <w:pPr>
        <w:widowControl/>
        <w:snapToGrid w:val="0"/>
        <w:spacing w:line="336" w:lineRule="auto"/>
        <w:ind w:firstLine="640" w:firstLineChars="200"/>
        <w:jc w:val="both"/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第四十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三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 xml:space="preserve">条  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产品标识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使用管理按《粤港澳大湾区“菜篮子”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产品标识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管理规则》执行。</w:t>
      </w:r>
    </w:p>
    <w:p>
      <w:pPr>
        <w:widowControl/>
        <w:snapToGrid w:val="0"/>
        <w:spacing w:line="336" w:lineRule="auto"/>
        <w:ind w:firstLine="640" w:firstLineChars="200"/>
        <w:jc w:val="both"/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第四十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四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条  本方案由粤港澳大湾区“菜篮子”工作办公室负责解释。</w:t>
      </w:r>
    </w:p>
    <w:p>
      <w:pPr>
        <w:widowControl w:val="0"/>
        <w:spacing w:line="336" w:lineRule="auto"/>
        <w:ind w:firstLine="640" w:firstLineChars="200"/>
        <w:jc w:val="both"/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第四十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五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条  本方案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修订版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自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印发之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日起施行。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</w:rPr>
        <w:t>粤港澳大湾区“菜篮子”产品上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溯源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</w:rPr>
        <w:t>平台流通相关规则的说明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》同时废止。</w:t>
      </w:r>
    </w:p>
    <w:p>
      <w:bookmarkStart w:id="3" w:name="_GoBack"/>
      <w:bookmarkEnd w:id="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BC6492"/>
    <w:rsid w:val="2ABC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1"/>
    <w:qFormat/>
    <w:uiPriority w:val="0"/>
    <w:pPr>
      <w:keepNext/>
      <w:keepLines/>
      <w:spacing w:before="260" w:beforeLines="0" w:after="260" w:afterLines="0" w:line="413" w:lineRule="auto"/>
      <w:jc w:val="both"/>
      <w:textAlignment w:val="baseline"/>
    </w:pPr>
    <w:rPr>
      <w:rFonts w:ascii="宋体" w:hAnsi="宋体" w:eastAsia="宋体" w:cs="Times New Roman"/>
      <w:b/>
      <w:bCs/>
      <w:kern w:val="2"/>
      <w:sz w:val="30"/>
      <w:szCs w:val="3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2020-12-22T07:45:00Z</dcterms:created>
  <dc:creator>采编编辑1608622276878</dc:creator>
  <cp:lastModifiedBy>采编编辑1608622276878</cp:lastModifiedBy>
  <dcterms:modified xsi:type="dcterms:W3CDTF">2020-12-22T07:45:57Z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