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62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spacing w:beforeAutospacing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>
      <w:pPr>
        <w:pStyle w:val="2"/>
        <w:spacing w:beforeAutospacing="0" w:afterAutospacing="0"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蔬菜瓜果收储奖补资金相关证明材料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一、申请单位法人登记证书、工商营业执照、税务登记证。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二、采购对象产地证明材料。食用农产品合格证、产地来源证明（包含种植企业/种植户规模）。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三、收储采购蔬菜瓜果资金往来证明（发票或收据，资金流水等）。收储蔬菜瓜果的企业根据自身的情况提供租赁冷库（租赁合同、发票或收据，资金流水等）或自有冷库证明材料。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四、收储蔬菜瓜果的企业需提供入库记录和出库记录。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五、各区农业农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村主管部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门结合实际认为其他需要提供的材料。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六、相关证明材料提供复印件，原件备查。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90DC0"/>
    <w:rsid w:val="1A09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5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2020-04-20T08:34:00Z</dcterms:created>
  <dc:creator>采编编辑1587370726101</dc:creator>
  <cp:lastModifiedBy>采编编辑1587370726101</cp:lastModifiedBy>
  <dcterms:modified xsi:type="dcterms:W3CDTF">2020-04-20T08:34:14Z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