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广州市农业农村局普法责任清单</w:t>
      </w:r>
    </w:p>
    <w:tbl>
      <w:tblPr>
        <w:tblStyle w:val="8"/>
        <w:tblW w:w="13590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560"/>
        <w:gridCol w:w="4800"/>
        <w:gridCol w:w="2310"/>
        <w:gridCol w:w="250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普法对象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重点普法内容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时间和实施形式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工作目标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140" w:hanging="140" w:hangingChars="5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责任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局系统工作人员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、管理相对人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习近平法治思想；习近平新时代中国特色社会主义思想，习近平总书记关于全面依法治国的重要论述，习近平总书记重要讲话和重要批示指示精神。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公共综合类法律法规。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《宪法》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《民法典》《乡村振兴促进法》《国家安全法》《行政处罚法》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《行政许可法》《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保密法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》《审计法》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《突发事件应对法》《生物安全法》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《政府信息公开条例》《信访条例》《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广州市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优化营商环境条例》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《广州市反餐饮浪费条例》《广东省行政规范性文件管理规定》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等。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全年;重点在12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日宪法宣传日和宪法宣传周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；利用OA系统传阅及派发学习资料、法律培训班、局电子屏幕、农业法规动态期刊等。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提高全系统人员依法行政意识，宪法至上意识；重点掌握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行政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处罚、许可、保密、安全生产、政务公开、信访工作、财务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、疫情防控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等法律知识。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政策法规处、办公室、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秘书处、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计财处、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宣传交流处、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人事处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、机关党委、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局属各单位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局系统党员干部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党内法规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纪律。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《中国共产党党内监督条例》《中国共产党纪律处分条例》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《中国共产党农村工作条例》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《中国共产党农村基层组织工作条例》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《中国共产党廉洁自律准则》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等。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全年；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组织局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党组中心组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学习，各支部开展学习，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利用培训、考学活动和网络、自媒体等。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提高全体党员干部党纪法规意识，做学法、守法、用法的模范。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机关党委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、各处室、局属各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市、区农业行政管理人员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，管理相对人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农村经济管理类法律法规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《土地管理法》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《土地承包法》《农民专业合作社法》《广东省农村集体资产管理条例》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《农村土地经营权流转管理办法》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等。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全年；派发宣传资料、举办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宣传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培训班等方式。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增强农民在土地承包经营权流转、土地确权、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集体资产管理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方面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法律意识。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农村合作经济指导处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市、区农业行政管理人员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，管理相对人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农产品质量安全法律法规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《农产品质量安全法》《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广东省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水产品质量安全管理条例》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《农产品质量安全监测管理办法》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等。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全年；农产品质量安全宣传周，科技下乡活动等。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提高管理人员业务水平，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农业从业者的产品质量责任意识，规范安全生产行为，提高科学种养水平。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质安处、市农监所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市、区农业行政管理人员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，管理相对人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畜禽管理、动物防疫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类法律法规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《畜牧法》《动物防疫法》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《生物安全法》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《生猪屠宰管理条例》《兽药管理条例》《乳品质量安全监督管理条例》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《兽用生物制品经营管理办法》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等。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全年；通过派发宣传资料、检查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执法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、举办培训班等形式。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依法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管理水平，提升管理相对人守法意识。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畜牧兽医屠管处、市动监所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市、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区渔业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渔政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管理人员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、管理相对人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渔业、渔政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类法律法规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111111"/>
                <w:kern w:val="0"/>
                <w:sz w:val="24"/>
                <w:szCs w:val="24"/>
              </w:rPr>
              <w:t>野生动物保护法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》《渔业法》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《广东省野生动物保护管理条例》《远洋渔业管理规定》《广州市禁止滥食野生动物条例》《渔业法实施细则》《广东省渔港和渔业船舶管理条例》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等。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全年；通过举办培训班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、检查执法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、印发宣传资料、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横幅等形式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依法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管理水平，提升管理相对人的守法意识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渔业处、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市海洋综合执法支队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市、区农业行政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执法人员，管理相对人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行政执法类法律法规。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《行政处罚法》《农产品质量安全法》《种子法》《农药管理条例》《兽药管理条例》《肥料登记管理办法》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《农业行政处罚程序规定》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等。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全年；利用执法检查、执法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培训、案例警示、派发宣传资料等。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提升执法人员能力；增强相对人守法意识，规范行业秩序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。执法人员每年参加法律培训不少于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40课时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执法监督处、局属各执法单位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市、区农业行政管理人员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，管理相对人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种植业类法律法规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《种子法》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《生物安全法》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《农药管理条例》《植物检疫条例》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《农作物病虫害防治条例》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instrText xml:space="preserve"> HYPERLINK "http://192.168.1.91:8001/flow/worklist.jsp?ApplSysId=1&amp;procTypeId=2&amp;procTypeId1=&amp;procInfoId=-1&amp;flag=null&amp;fileType=null" \o "" \t "http://192.168.1.91:8001/flow/"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《广东省种子条例》等。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利用培训班、现场会、监督检查、发放宣传手册、树警示教育牌等形式。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加强种子、农药、植物检疫等种植业管理，提高管理相对人学法、懂法、守法意识。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种植业处、种业处、植保植检处、市植保总站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市、区农业行政管理人员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，管理相对人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农业转基因生物安全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及农产品场地环境保护管理类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法律法规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《农业转基因生物安全管理条例》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《农用薄膜管理办法》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全年；通过科技下乡活动、培训班、监督检查等形式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管理和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管理对象对农业转基因生物安全、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农业环境保护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等方面的法律意识。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科教处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市、区农业行政管理人员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，管理相对人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农田建设保护类法律法规。《基本农田保护条例》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《广东省耕地质量管理规定》《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农田建设项目管理办法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》《农田建设补助资金管理办法》等。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全年；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采取培训班，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利用网络、电子平台，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印发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宣传手册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切实加强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耕地保护及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高标准农田建设，提升国家粮食安全保障能力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农田建设处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市、区农业行政管理人员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，管理相对人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农机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类法律法规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《农业机械安全监督管理条例》《拖拉机和联合收割机登记规定》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拖拉机和联合收割机驾驶证管理规定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等。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全年；采取培训班，印发安全手册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告知书，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检查执法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等。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管理对象安全生产意识，提升农机安全生产法治化和规范化水平。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农业机械化管理处、市农机监理所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市、区农业行政管理人员，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管理相对人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水生动物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检疫类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法律法规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《动物防疫法》《动物检疫管理办法》《水产苗种管理办法》《广东省水产品质量安全条例》等。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全年；举办农业科技下乡咨询活动、培训班、发送农业通短信等。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人员管理水平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提高水产苗种生产和经营者水生动物检疫防疫法律意识。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市水生动物防疫检疫中心站</w:t>
            </w:r>
          </w:p>
        </w:tc>
      </w:tr>
    </w:tbl>
    <w:p>
      <w:pPr>
        <w:pStyle w:val="3"/>
        <w:snapToGrid w:val="0"/>
        <w:spacing w:line="460" w:lineRule="exact"/>
        <w:ind w:left="560" w:hanging="560" w:hangingChars="200"/>
        <w:rPr>
          <w:rFonts w:hint="eastAsia"/>
          <w:lang w:eastAsia="zh-CN"/>
        </w:rPr>
        <w:sectPr>
          <w:pgSz w:w="16838" w:h="11906" w:orient="landscape"/>
          <w:pgMar w:top="1531" w:right="2098" w:bottom="1531" w:left="1984" w:header="851" w:footer="992" w:gutter="0"/>
          <w:cols w:space="720" w:num="1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注：普法清单根据新颁布新实施法律法规情况、上级部门要求和我局工作实际定期更新、调整。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93776"/>
    <w:rsid w:val="62B9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cs="Times New Roman"/>
      <w:sz w:val="21"/>
    </w:rPr>
  </w:style>
  <w:style w:type="paragraph" w:styleId="3">
    <w:name w:val="toc 4"/>
    <w:basedOn w:val="1"/>
    <w:next w:val="1"/>
    <w:qFormat/>
    <w:uiPriority w:val="0"/>
    <w:pPr>
      <w:wordWrap w:val="0"/>
      <w:ind w:left="850"/>
    </w:pPr>
    <w:rPr>
      <w:rFonts w:ascii="Calibri" w:hAnsi="Calibri" w:cs="黑体"/>
      <w:szCs w:val="2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2021-09-30T06:25:00Z</dcterms:created>
  <dc:creator>采编编辑</dc:creator>
  <cp:lastModifiedBy>采编编辑</cp:lastModifiedBy>
  <dcterms:modified xsi:type="dcterms:W3CDTF">2021-09-30T06:25:58Z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