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附件2</w:t>
      </w:r>
    </w:p>
    <w:p>
      <w:pPr>
        <w:spacing w:line="560" w:lineRule="exact"/>
        <w:ind w:firstLine="300" w:firstLineChars="100"/>
        <w:jc w:val="center"/>
        <w:rPr>
          <w:rFonts w:hint="eastAsia" w:ascii="黑体" w:hAnsi="黑体" w:eastAsia="黑体"/>
          <w:sz w:val="30"/>
          <w:szCs w:val="30"/>
        </w:rPr>
      </w:pPr>
      <w:bookmarkStart w:id="0" w:name="_GoBack"/>
      <w:r>
        <w:rPr>
          <w:rFonts w:hint="eastAsia" w:ascii="黑体" w:hAnsi="黑体" w:eastAsia="黑体"/>
          <w:sz w:val="30"/>
          <w:szCs w:val="30"/>
        </w:rPr>
        <w:t>广州市农产品质量安全监督所消防系统维修维护服务</w:t>
      </w:r>
    </w:p>
    <w:p>
      <w:pPr>
        <w:spacing w:line="560" w:lineRule="exact"/>
        <w:ind w:firstLine="300" w:firstLineChars="100"/>
        <w:jc w:val="center"/>
        <w:rPr>
          <w:rFonts w:hint="eastAsia" w:ascii="黑体" w:hAnsi="黑体" w:eastAsia="黑体"/>
          <w:sz w:val="30"/>
          <w:szCs w:val="30"/>
        </w:rPr>
      </w:pPr>
      <w:r>
        <w:rPr>
          <w:rFonts w:hint="eastAsia" w:ascii="黑体" w:hAnsi="黑体" w:eastAsia="黑体"/>
          <w:sz w:val="30"/>
          <w:szCs w:val="30"/>
        </w:rPr>
        <w:t>委托公告资格性和符合性审查表</w:t>
      </w:r>
    </w:p>
    <w:bookmarkEnd w:id="0"/>
    <w:tbl>
      <w:tblPr>
        <w:tblStyle w:val="4"/>
        <w:tblW w:w="10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05"/>
        <w:gridCol w:w="7001"/>
        <w:gridCol w:w="126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24" w:type="dxa"/>
            <w:vMerge w:val="restart"/>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序号</w:t>
            </w:r>
          </w:p>
        </w:tc>
        <w:tc>
          <w:tcPr>
            <w:tcW w:w="705" w:type="dxa"/>
            <w:vMerge w:val="restart"/>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审查类型</w:t>
            </w:r>
          </w:p>
        </w:tc>
        <w:tc>
          <w:tcPr>
            <w:tcW w:w="7001" w:type="dxa"/>
            <w:vMerge w:val="restart"/>
            <w:vAlign w:val="center"/>
          </w:tcPr>
          <w:p>
            <w:pPr>
              <w:pStyle w:val="2"/>
              <w:spacing w:line="440" w:lineRule="exact"/>
              <w:jc w:val="center"/>
              <w:rPr>
                <w:rFonts w:hint="eastAsia" w:ascii="仿宋_GB2312" w:hAnsi="仿宋" w:eastAsia="仿宋_GB2312"/>
                <w:szCs w:val="21"/>
              </w:rPr>
            </w:pPr>
            <w:r>
              <w:rPr>
                <w:rFonts w:hint="eastAsia" w:ascii="仿宋_GB2312" w:hAnsi="仿宋" w:eastAsia="仿宋_GB2312"/>
                <w:szCs w:val="21"/>
              </w:rPr>
              <w:t>评审内容</w:t>
            </w:r>
          </w:p>
        </w:tc>
        <w:tc>
          <w:tcPr>
            <w:tcW w:w="2494" w:type="dxa"/>
            <w:gridSpan w:val="2"/>
            <w:vAlign w:val="center"/>
          </w:tcPr>
          <w:p>
            <w:pPr>
              <w:pStyle w:val="2"/>
              <w:spacing w:line="440" w:lineRule="exact"/>
              <w:jc w:val="center"/>
              <w:rPr>
                <w:rFonts w:hint="eastAsia" w:ascii="仿宋_GB2312" w:hAnsi="仿宋" w:eastAsia="仿宋_GB2312"/>
                <w:szCs w:val="21"/>
              </w:rPr>
            </w:pPr>
            <w:r>
              <w:rPr>
                <w:rFonts w:hint="eastAsia" w:ascii="仿宋_GB2312" w:hAnsi="仿宋" w:eastAsia="仿宋_GB2312"/>
                <w:szCs w:val="21"/>
              </w:rPr>
              <w:t>投标单位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24" w:type="dxa"/>
            <w:vMerge w:val="continue"/>
            <w:vAlign w:val="center"/>
          </w:tcPr>
          <w:p>
            <w:pPr>
              <w:pStyle w:val="2"/>
              <w:spacing w:line="440" w:lineRule="exact"/>
              <w:ind w:firstLine="0" w:firstLineChars="0"/>
              <w:jc w:val="center"/>
              <w:rPr>
                <w:rFonts w:hint="eastAsia" w:ascii="仿宋_GB2312" w:hAnsi="仿宋" w:eastAsia="仿宋_GB2312"/>
                <w:szCs w:val="21"/>
              </w:rPr>
            </w:pPr>
          </w:p>
        </w:tc>
        <w:tc>
          <w:tcPr>
            <w:tcW w:w="705" w:type="dxa"/>
            <w:vMerge w:val="continue"/>
            <w:vAlign w:val="center"/>
          </w:tcPr>
          <w:p>
            <w:pPr>
              <w:pStyle w:val="2"/>
              <w:spacing w:line="440" w:lineRule="exact"/>
              <w:ind w:firstLine="0" w:firstLineChars="0"/>
              <w:jc w:val="center"/>
              <w:rPr>
                <w:rFonts w:hint="eastAsia" w:ascii="仿宋_GB2312" w:hAnsi="仿宋" w:eastAsia="仿宋_GB2312"/>
                <w:szCs w:val="21"/>
              </w:rPr>
            </w:pPr>
          </w:p>
        </w:tc>
        <w:tc>
          <w:tcPr>
            <w:tcW w:w="7001" w:type="dxa"/>
            <w:vMerge w:val="continue"/>
            <w:vAlign w:val="center"/>
          </w:tcPr>
          <w:p>
            <w:pPr>
              <w:pStyle w:val="2"/>
              <w:spacing w:line="440" w:lineRule="exact"/>
              <w:jc w:val="center"/>
              <w:rPr>
                <w:rFonts w:hint="eastAsia" w:ascii="仿宋_GB2312" w:hAnsi="仿宋" w:eastAsia="仿宋_GB2312"/>
                <w:szCs w:val="21"/>
              </w:rPr>
            </w:pPr>
          </w:p>
        </w:tc>
        <w:tc>
          <w:tcPr>
            <w:tcW w:w="1266" w:type="dxa"/>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单位1</w:t>
            </w:r>
          </w:p>
        </w:tc>
        <w:tc>
          <w:tcPr>
            <w:tcW w:w="1228" w:type="dxa"/>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424" w:type="dxa"/>
            <w:vMerge w:val="restart"/>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1</w:t>
            </w:r>
          </w:p>
        </w:tc>
        <w:tc>
          <w:tcPr>
            <w:tcW w:w="705" w:type="dxa"/>
            <w:vMerge w:val="restart"/>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资格审查</w:t>
            </w: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在中华人民共和国注册的具有独立承担民事责任能力的法人或其他组织，具有有效的营业执照或事业法人登记证；</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rPr>
            </w:pPr>
          </w:p>
        </w:tc>
        <w:tc>
          <w:tcPr>
            <w:tcW w:w="705" w:type="dxa"/>
            <w:vMerge w:val="continue"/>
            <w:vAlign w:val="center"/>
          </w:tcPr>
          <w:p>
            <w:pPr>
              <w:pStyle w:val="2"/>
              <w:spacing w:line="440" w:lineRule="exact"/>
              <w:jc w:val="center"/>
              <w:rPr>
                <w:rFonts w:hint="eastAsia" w:ascii="仿宋_GB2312" w:hAnsi="宋体" w:eastAsia="仿宋_GB2312" w:cs="Tahoma"/>
                <w:szCs w:val="21"/>
              </w:rPr>
            </w:pP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具有履行合同所必需的设备和专业技术能力；</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rPr>
            </w:pPr>
          </w:p>
        </w:tc>
        <w:tc>
          <w:tcPr>
            <w:tcW w:w="705" w:type="dxa"/>
            <w:vMerge w:val="continue"/>
            <w:vAlign w:val="center"/>
          </w:tcPr>
          <w:p>
            <w:pPr>
              <w:pStyle w:val="2"/>
              <w:spacing w:line="440" w:lineRule="exact"/>
              <w:jc w:val="center"/>
              <w:rPr>
                <w:rFonts w:hint="eastAsia" w:ascii="仿宋_GB2312" w:hAnsi="宋体" w:eastAsia="仿宋_GB2312" w:cs="Tahoma"/>
                <w:szCs w:val="21"/>
              </w:rPr>
            </w:pPr>
          </w:p>
        </w:tc>
        <w:tc>
          <w:tcPr>
            <w:tcW w:w="7001" w:type="dxa"/>
            <w:vAlign w:val="center"/>
          </w:tcPr>
          <w:p>
            <w:pPr>
              <w:spacing w:before="100" w:beforeAutospacing="1" w:after="100" w:afterAutospacing="1" w:line="440" w:lineRule="exact"/>
              <w:rPr>
                <w:rFonts w:hint="eastAsia" w:ascii="仿宋_GB2312" w:hAnsi="宋体" w:eastAsia="仿宋_GB2312" w:cs="Tahoma"/>
                <w:szCs w:val="21"/>
              </w:rPr>
            </w:pPr>
            <w:r>
              <w:rPr>
                <w:rFonts w:hint="eastAsia" w:ascii="仿宋_GB2312" w:hAnsi="宋体" w:eastAsia="仿宋_GB2312" w:cs="Tahoma"/>
                <w:szCs w:val="21"/>
              </w:rPr>
              <w:t>在“信用中国”网站（www.creditchina.gov.cn）、中国政府采购网（www.ccgp.gov.cn）没有被列入失信被执行人、重大税收违法案件当事人名单、政府采购严重违法失信行为记录名单及其他不符合规定条件的供应商；</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424" w:type="dxa"/>
            <w:vMerge w:val="restart"/>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2</w:t>
            </w:r>
          </w:p>
          <w:p>
            <w:pPr>
              <w:pStyle w:val="2"/>
              <w:spacing w:line="440" w:lineRule="exact"/>
              <w:rPr>
                <w:rFonts w:hint="eastAsia" w:ascii="仿宋_GB2312" w:hAnsi="宋体" w:eastAsia="仿宋_GB2312" w:cs="Tahoma"/>
                <w:szCs w:val="21"/>
              </w:rPr>
            </w:pPr>
          </w:p>
        </w:tc>
        <w:tc>
          <w:tcPr>
            <w:tcW w:w="705" w:type="dxa"/>
            <w:vMerge w:val="restart"/>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符合性审查</w:t>
            </w: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按照公告要求签署、盖章且递交资料有法定代表人签署本人姓名（印盖本人姓名章），或签署人有法定代表有效授权书的；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rPr>
                <w:rFonts w:hint="eastAsia" w:ascii="仿宋_GB2312" w:hAnsi="宋体" w:eastAsia="仿宋_GB2312"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申请资料已提交并符合公告要求的；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ind w:firstLine="0" w:firstLineChars="0"/>
              <w:jc w:val="center"/>
              <w:rPr>
                <w:rFonts w:hint="eastAsia" w:ascii="仿宋_GB2312" w:hAnsi="宋体" w:eastAsia="仿宋_GB2312"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申请报价是固定价且是唯一的，申请报价未超过采购预算；</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申请资料没有公告中规定的其他无效条款的；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没有法律、法规规定的其他无效情形。</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29" w:type="dxa"/>
            <w:gridSpan w:val="2"/>
            <w:vAlign w:val="center"/>
          </w:tcPr>
          <w:p>
            <w:pPr>
              <w:spacing w:line="440" w:lineRule="exact"/>
              <w:jc w:val="center"/>
              <w:rPr>
                <w:rFonts w:hint="eastAsia" w:ascii="仿宋_GB2312" w:hAnsi="宋体" w:cs="Tahoma"/>
                <w:szCs w:val="21"/>
              </w:rPr>
            </w:pPr>
            <w:r>
              <w:rPr>
                <w:rFonts w:hint="eastAsia" w:ascii="仿宋_GB2312" w:hAnsi="宋体" w:cs="Tahoma"/>
                <w:szCs w:val="21"/>
              </w:rPr>
              <w:t>备注</w:t>
            </w:r>
          </w:p>
        </w:tc>
        <w:tc>
          <w:tcPr>
            <w:tcW w:w="9495" w:type="dxa"/>
            <w:gridSpan w:val="3"/>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资格审查符合者，资格审查结论为通过，方可评审其他内容。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40DFA"/>
    <w:rsid w:val="15E4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2020-06-02T00:57:00Z</dcterms:created>
  <dc:creator>采编编辑1591058892835</dc:creator>
  <cp:lastModifiedBy>采编编辑1591058892835</cp:lastModifiedBy>
  <dcterms:modified xsi:type="dcterms:W3CDTF">2020-06-02T01:00:24Z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