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336" w:lineRule="auto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widowControl/>
        <w:spacing w:before="0" w:beforeAutospacing="0" w:after="0" w:afterAutospacing="0" w:line="336" w:lineRule="auto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336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粤港澳大湾区“菜篮子”销售点申报条件</w:t>
      </w:r>
    </w:p>
    <w:bookmarkEnd w:id="0"/>
    <w:p>
      <w:pPr>
        <w:snapToGrid w:val="0"/>
        <w:spacing w:line="336" w:lineRule="auto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一、申报企业必须是中国境内注册登记的独立法人，并对其申报的销售点的经营行为负全部责任。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二、遵守《粤港澳大湾区“菜篮子”标识管理规则》等规定。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三、没有不良记录。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四、销售点使用粤港澳大湾区“菜篮子”标识和名义进行销售的产品必须是进入粤港澳大湾区“菜篮子”平台流通并且经法定检测合格的产品。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五、销售点设立专柜持续销售多品类的、具备粤港澳大湾区“菜篮子”产品标识的产品，并能提供相关证明材料。</w:t>
      </w:r>
    </w:p>
    <w:p>
      <w:pPr>
        <w:spacing w:line="336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六、申报企业具备一定的经营规模，每个申报企业至少设有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10（含）个以上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销售点（包括正规销售门店或专柜，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经营权必须为申报企业所有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）。</w:t>
      </w:r>
    </w:p>
    <w:p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七、具备销售农产品的资质和场所等必备条件，自觉维护粤港澳大湾区“菜篮子”品牌形象，统一使用粤港澳大湾区“菜篮子”产品经营形象，接受粤港澳大湾区“菜篮子”工作办公室的监督指导。</w:t>
      </w:r>
      <w:r>
        <w:rPr>
          <w:rFonts w:hint="default" w:ascii="Times New Roman" w:hAnsi="Times New Roman" w:eastAsia="仿宋_GB2312" w:cs="Times New Roman"/>
          <w:szCs w:val="2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22A30"/>
    <w:rsid w:val="0192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2020-02-26T07:03:00Z</dcterms:created>
  <dc:creator>谢曼莹1582699376860</dc:creator>
  <cp:lastModifiedBy>谢曼莹1582699376860</cp:lastModifiedBy>
  <dcterms:modified xsi:type="dcterms:W3CDTF">2020-02-26T07:03:57Z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