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center"/>
        <w:rPr>
          <w:rFonts w:hint="eastAsia" w:ascii="方正小标宋简体" w:hAnsi="Times New Roman" w:eastAsia="方正小标宋简体" w:cs="Times New Roman"/>
          <w:sz w:val="44"/>
          <w:szCs w:val="44"/>
        </w:rPr>
      </w:pPr>
      <w:r>
        <w:rPr>
          <w:rFonts w:hint="eastAsia" w:ascii="方正小标宋简体" w:hAnsi="长城小标宋体" w:eastAsia="方正小标宋简体" w:cs="Times New Roman"/>
          <w:sz w:val="44"/>
          <w:szCs w:val="44"/>
        </w:rPr>
        <w:t>广州市政策性蔬菜种植气象指数保险</w:t>
      </w:r>
    </w:p>
    <w:p>
      <w:pPr>
        <w:snapToGrid w:val="0"/>
        <w:spacing w:line="240" w:lineRule="auto"/>
        <w:jc w:val="center"/>
        <w:rPr>
          <w:rFonts w:hint="eastAsia" w:ascii="方正小标宋简体" w:hAnsi="Times New Roman" w:eastAsia="方正小标宋简体" w:cs="Times New Roman"/>
          <w:sz w:val="44"/>
          <w:szCs w:val="44"/>
        </w:rPr>
      </w:pPr>
      <w:r>
        <w:rPr>
          <w:rFonts w:hint="eastAsia" w:ascii="方正小标宋简体" w:hAnsi="长城小标宋体" w:eastAsia="方正小标宋简体" w:cs="Times New Roman"/>
          <w:sz w:val="44"/>
          <w:szCs w:val="44"/>
        </w:rPr>
        <w:t>实施方案（试行）</w:t>
      </w:r>
    </w:p>
    <w:p>
      <w:pPr>
        <w:spacing w:line="240" w:lineRule="auto"/>
        <w:jc w:val="center"/>
        <w:rPr>
          <w:rFonts w:hint="eastAsia" w:ascii="方正小标宋简体" w:hAnsi="Times New Roman" w:eastAsia="方正小标宋简体" w:cs="Times New Roman"/>
          <w:b/>
          <w:bCs/>
          <w:sz w:val="32"/>
          <w:szCs w:val="32"/>
        </w:rPr>
      </w:pPr>
    </w:p>
    <w:p>
      <w:pPr>
        <w:snapToGrid w:val="0"/>
        <w:spacing w:line="336" w:lineRule="auto"/>
        <w:ind w:firstLine="640" w:firstLineChars="200"/>
        <w:rPr>
          <w:rFonts w:eastAsia="仿宋_GB2312"/>
          <w:color w:val="000000"/>
          <w:kern w:val="0"/>
          <w:sz w:val="32"/>
          <w:szCs w:val="32"/>
        </w:rPr>
      </w:pPr>
      <w:r>
        <w:rPr>
          <w:rFonts w:hint="default" w:ascii="Times New Roman" w:hAnsi="仿宋_GB2312" w:eastAsia="仿宋_GB2312" w:cs="Times New Roman"/>
          <w:color w:val="000000"/>
          <w:kern w:val="0"/>
          <w:sz w:val="32"/>
          <w:szCs w:val="32"/>
        </w:rPr>
        <w:t>为</w:t>
      </w:r>
      <w:r>
        <w:rPr>
          <w:rFonts w:hAnsi="Times New Roman" w:eastAsia="仿宋_GB2312"/>
          <w:color w:val="000000"/>
          <w:kern w:val="0"/>
          <w:sz w:val="32"/>
          <w:szCs w:val="32"/>
        </w:rPr>
        <w:t>认真贯彻落实市委、市政府有关决策部署，全面提高我市蔬菜种植业抗风险能力，促进我市蔬菜种植业可持续发展，制</w:t>
      </w:r>
      <w:r>
        <w:rPr>
          <w:rFonts w:hint="default" w:hAnsi="Times New Roman" w:eastAsia="仿宋_GB2312"/>
          <w:color w:val="000000"/>
          <w:kern w:val="0"/>
          <w:sz w:val="32"/>
          <w:szCs w:val="32"/>
        </w:rPr>
        <w:t>定</w:t>
      </w:r>
      <w:r>
        <w:rPr>
          <w:rFonts w:hAnsi="Times New Roman" w:eastAsia="仿宋_GB2312"/>
          <w:color w:val="000000"/>
          <w:kern w:val="0"/>
          <w:sz w:val="32"/>
          <w:szCs w:val="32"/>
        </w:rPr>
        <w:t>本实施方案。</w:t>
      </w:r>
    </w:p>
    <w:p>
      <w:pPr>
        <w:snapToGrid w:val="0"/>
        <w:spacing w:line="336" w:lineRule="auto"/>
        <w:ind w:firstLine="640" w:firstLineChars="200"/>
        <w:rPr>
          <w:rFonts w:eastAsia="黑体"/>
          <w:bCs/>
          <w:color w:val="000000"/>
          <w:kern w:val="0"/>
          <w:sz w:val="32"/>
          <w:szCs w:val="32"/>
        </w:rPr>
      </w:pPr>
      <w:r>
        <w:rPr>
          <w:rFonts w:hAnsi="Times New Roman" w:eastAsia="黑体"/>
          <w:bCs/>
          <w:color w:val="000000"/>
          <w:kern w:val="0"/>
          <w:sz w:val="32"/>
          <w:szCs w:val="32"/>
        </w:rPr>
        <w:t>一、基本原则</w:t>
      </w:r>
    </w:p>
    <w:p>
      <w:pPr>
        <w:snapToGrid w:val="0"/>
        <w:spacing w:line="336" w:lineRule="auto"/>
        <w:ind w:firstLine="640" w:firstLineChars="200"/>
        <w:rPr>
          <w:rFonts w:eastAsia="仿宋_GB2312"/>
          <w:color w:val="000000"/>
          <w:kern w:val="0"/>
          <w:sz w:val="32"/>
          <w:szCs w:val="32"/>
        </w:rPr>
      </w:pPr>
      <w:r>
        <w:rPr>
          <w:rFonts w:hAnsi="Times New Roman" w:eastAsia="仿宋_GB2312"/>
          <w:color w:val="000000"/>
          <w:kern w:val="0"/>
          <w:sz w:val="32"/>
          <w:szCs w:val="32"/>
        </w:rPr>
        <w:t>我市开展的政策性蔬菜种植气象指数保险，按照</w:t>
      </w:r>
      <w:r>
        <w:rPr>
          <w:rFonts w:eastAsia="仿宋_GB2312"/>
          <w:color w:val="000000"/>
          <w:kern w:val="0"/>
          <w:sz w:val="32"/>
          <w:szCs w:val="32"/>
        </w:rPr>
        <w:t>“</w:t>
      </w:r>
      <w:r>
        <w:rPr>
          <w:rFonts w:hAnsi="Times New Roman" w:eastAsia="仿宋_GB2312"/>
          <w:color w:val="000000"/>
          <w:kern w:val="0"/>
          <w:sz w:val="32"/>
          <w:szCs w:val="32"/>
        </w:rPr>
        <w:t>政府引导、市场运作、参保自愿、协同推进</w:t>
      </w:r>
      <w:r>
        <w:rPr>
          <w:rFonts w:eastAsia="仿宋_GB2312"/>
          <w:color w:val="000000"/>
          <w:kern w:val="0"/>
          <w:sz w:val="32"/>
          <w:szCs w:val="32"/>
        </w:rPr>
        <w:t>”</w:t>
      </w:r>
      <w:r>
        <w:rPr>
          <w:rFonts w:hAnsi="Times New Roman" w:eastAsia="仿宋_GB2312"/>
          <w:color w:val="000000"/>
          <w:kern w:val="0"/>
          <w:sz w:val="32"/>
          <w:szCs w:val="32"/>
        </w:rPr>
        <w:t>的原则，以蔬菜规模化种植经营主体为试点对象、蔬菜为试点标的，逐步建立以气象指数为依据的蔬菜种植灾害风险保障体系。</w:t>
      </w:r>
    </w:p>
    <w:p>
      <w:pPr>
        <w:snapToGrid w:val="0"/>
        <w:spacing w:line="336" w:lineRule="auto"/>
        <w:ind w:firstLine="643" w:firstLineChars="200"/>
        <w:rPr>
          <w:rFonts w:eastAsia="仿宋_GB2312"/>
          <w:color w:val="000000"/>
          <w:kern w:val="0"/>
          <w:sz w:val="32"/>
          <w:szCs w:val="32"/>
        </w:rPr>
      </w:pPr>
      <w:r>
        <w:rPr>
          <w:rFonts w:ascii="Times New Roman" w:hAnsi="Times New Roman" w:eastAsia="楷体_GB2312"/>
          <w:b/>
          <w:color w:val="000000"/>
          <w:kern w:val="0"/>
          <w:sz w:val="32"/>
          <w:szCs w:val="32"/>
        </w:rPr>
        <w:t>（一）政府</w:t>
      </w:r>
      <w:r>
        <w:rPr>
          <w:rFonts w:hint="default" w:ascii="Times New Roman" w:hAnsi="Times New Roman" w:eastAsia="楷体_GB2312"/>
          <w:b/>
          <w:color w:val="000000"/>
          <w:kern w:val="0"/>
          <w:sz w:val="32"/>
          <w:szCs w:val="32"/>
        </w:rPr>
        <w:t>引导</w:t>
      </w:r>
      <w:r>
        <w:rPr>
          <w:rFonts w:ascii="Times New Roman" w:hAnsi="Times New Roman" w:eastAsia="楷体_GB2312"/>
          <w:b/>
          <w:color w:val="000000"/>
          <w:kern w:val="0"/>
          <w:sz w:val="32"/>
          <w:szCs w:val="32"/>
        </w:rPr>
        <w:t>。</w:t>
      </w:r>
      <w:r>
        <w:rPr>
          <w:rFonts w:hAnsi="Times New Roman" w:eastAsia="仿宋_GB2312"/>
          <w:color w:val="000000"/>
          <w:kern w:val="0"/>
          <w:sz w:val="32"/>
          <w:szCs w:val="32"/>
        </w:rPr>
        <w:t>政府通过财政补贴等调控手段，引导蔬菜种植户参加政策性蔬菜种植气象指数保险，增强蔬菜种植抗风险能力，促进蔬菜产业发展。</w:t>
      </w:r>
    </w:p>
    <w:p>
      <w:pPr>
        <w:snapToGrid w:val="0"/>
        <w:spacing w:line="336" w:lineRule="auto"/>
        <w:ind w:firstLine="643" w:firstLineChars="200"/>
        <w:rPr>
          <w:rFonts w:eastAsia="仿宋_GB2312"/>
          <w:color w:val="000000"/>
          <w:kern w:val="0"/>
          <w:sz w:val="32"/>
          <w:szCs w:val="32"/>
        </w:rPr>
      </w:pPr>
      <w:r>
        <w:rPr>
          <w:rFonts w:ascii="Times New Roman" w:hAnsi="Times New Roman" w:eastAsia="楷体_GB2312"/>
          <w:b/>
          <w:color w:val="000000"/>
          <w:kern w:val="0"/>
          <w:sz w:val="32"/>
          <w:szCs w:val="32"/>
        </w:rPr>
        <w:t>（二）市场运作。</w:t>
      </w:r>
      <w:r>
        <w:rPr>
          <w:rFonts w:hAnsi="Times New Roman" w:eastAsia="仿宋_GB2312"/>
          <w:color w:val="000000"/>
          <w:kern w:val="0"/>
          <w:sz w:val="32"/>
          <w:szCs w:val="32"/>
        </w:rPr>
        <w:t>充分发挥商业保险公司的经营网络、人才优势和风险管理水平，承担理赔责任风险，提升保险服务水平。</w:t>
      </w:r>
    </w:p>
    <w:p>
      <w:pPr>
        <w:snapToGrid w:val="0"/>
        <w:spacing w:line="336" w:lineRule="auto"/>
        <w:ind w:firstLine="643" w:firstLineChars="200"/>
        <w:rPr>
          <w:rFonts w:eastAsia="仿宋_GB2312"/>
          <w:color w:val="000000"/>
          <w:kern w:val="0"/>
          <w:sz w:val="32"/>
          <w:szCs w:val="32"/>
        </w:rPr>
      </w:pPr>
      <w:r>
        <w:rPr>
          <w:rFonts w:hint="default" w:ascii="Times New Roman" w:hAnsi="Times New Roman" w:eastAsia="楷体_GB2312"/>
          <w:b/>
          <w:color w:val="000000"/>
          <w:kern w:val="0"/>
          <w:sz w:val="32"/>
          <w:szCs w:val="32"/>
        </w:rPr>
        <w:t>（三）参保自愿。</w:t>
      </w:r>
      <w:r>
        <w:rPr>
          <w:rFonts w:hAnsi="Times New Roman" w:eastAsia="仿宋_GB2312"/>
          <w:color w:val="000000"/>
          <w:kern w:val="0"/>
          <w:sz w:val="32"/>
          <w:szCs w:val="32"/>
        </w:rPr>
        <w:t>通过政策引导、保费补贴及改进承保理赔服务方式，调动参保的积极性，促进参保对象自愿投保。</w:t>
      </w:r>
    </w:p>
    <w:p>
      <w:pPr>
        <w:snapToGrid w:val="0"/>
        <w:spacing w:line="336" w:lineRule="auto"/>
        <w:ind w:firstLine="643" w:firstLineChars="200"/>
        <w:rPr>
          <w:rFonts w:eastAsia="仿宋_GB2312"/>
          <w:color w:val="000000"/>
          <w:kern w:val="0"/>
          <w:sz w:val="32"/>
          <w:szCs w:val="32"/>
        </w:rPr>
      </w:pPr>
      <w:r>
        <w:rPr>
          <w:rFonts w:hint="default" w:ascii="Times New Roman" w:hAnsi="Times New Roman" w:eastAsia="楷体_GB2312"/>
          <w:b/>
          <w:color w:val="000000"/>
          <w:kern w:val="0"/>
          <w:sz w:val="32"/>
          <w:szCs w:val="32"/>
        </w:rPr>
        <w:t>（四）协同推进。</w:t>
      </w:r>
      <w:r>
        <w:rPr>
          <w:rFonts w:hAnsi="Times New Roman" w:eastAsia="仿宋_GB2312"/>
          <w:color w:val="000000"/>
          <w:kern w:val="0"/>
          <w:sz w:val="32"/>
          <w:szCs w:val="32"/>
        </w:rPr>
        <w:t>各级政府、有关部门切实履行职责，将政策性保险与其他惠农政策有机结合、共同推进，妥善协调和处理有关问题，积极推进试点工作。</w:t>
      </w:r>
    </w:p>
    <w:p>
      <w:pPr>
        <w:snapToGrid w:val="0"/>
        <w:spacing w:line="336" w:lineRule="auto"/>
        <w:ind w:firstLine="640" w:firstLineChars="200"/>
        <w:rPr>
          <w:rFonts w:eastAsia="黑体"/>
          <w:bCs/>
          <w:color w:val="000000"/>
          <w:kern w:val="0"/>
          <w:sz w:val="32"/>
          <w:szCs w:val="32"/>
        </w:rPr>
      </w:pPr>
      <w:r>
        <w:rPr>
          <w:rFonts w:hAnsi="Times New Roman" w:eastAsia="黑体"/>
          <w:bCs/>
          <w:color w:val="000000"/>
          <w:kern w:val="0"/>
          <w:sz w:val="32"/>
          <w:szCs w:val="32"/>
        </w:rPr>
        <w:t>二、运作模式</w:t>
      </w:r>
    </w:p>
    <w:p>
      <w:pPr>
        <w:snapToGrid w:val="0"/>
        <w:spacing w:line="336" w:lineRule="auto"/>
        <w:ind w:firstLine="640" w:firstLineChars="200"/>
        <w:rPr>
          <w:rFonts w:eastAsia="仿宋_GB2312"/>
          <w:color w:val="000000"/>
          <w:kern w:val="0"/>
          <w:sz w:val="32"/>
          <w:szCs w:val="32"/>
        </w:rPr>
      </w:pPr>
      <w:r>
        <w:rPr>
          <w:rFonts w:hAnsi="Times New Roman" w:eastAsia="仿宋_GB2312"/>
          <w:sz w:val="32"/>
          <w:szCs w:val="32"/>
        </w:rPr>
        <w:t>为提高保险理赔的效率，解决传统蔬菜</w:t>
      </w:r>
      <w:r>
        <w:rPr>
          <w:rFonts w:hAnsi="Times New Roman" w:eastAsia="仿宋_GB2312"/>
          <w:color w:val="000000"/>
          <w:kern w:val="0"/>
          <w:sz w:val="32"/>
          <w:szCs w:val="32"/>
        </w:rPr>
        <w:t>查勘定损理赔困难</w:t>
      </w:r>
      <w:r>
        <w:rPr>
          <w:rFonts w:hAnsi="Times New Roman" w:eastAsia="仿宋_GB2312"/>
          <w:sz w:val="32"/>
          <w:szCs w:val="32"/>
        </w:rPr>
        <w:t>的问题，本蔬菜种植保险方案采取气象指数定损模式。选取对蔬菜种植生长过程中影响较大的气象因素</w:t>
      </w:r>
      <w:r>
        <w:rPr>
          <w:rFonts w:eastAsia="仿宋_GB2312"/>
          <w:sz w:val="32"/>
          <w:szCs w:val="32"/>
        </w:rPr>
        <w:t>“</w:t>
      </w:r>
      <w:r>
        <w:rPr>
          <w:rFonts w:hAnsi="Times New Roman" w:eastAsia="仿宋_GB2312"/>
          <w:sz w:val="32"/>
          <w:szCs w:val="32"/>
        </w:rPr>
        <w:t>暴雨、大风</w:t>
      </w:r>
      <w:r>
        <w:rPr>
          <w:rFonts w:eastAsia="仿宋_GB2312"/>
          <w:sz w:val="32"/>
          <w:szCs w:val="32"/>
        </w:rPr>
        <w:t>”</w:t>
      </w:r>
      <w:r>
        <w:rPr>
          <w:rFonts w:hAnsi="Times New Roman" w:eastAsia="仿宋_GB2312"/>
          <w:sz w:val="32"/>
          <w:szCs w:val="32"/>
        </w:rPr>
        <w:t>作为气象指数保险理赔触发条件。</w:t>
      </w:r>
      <w:r>
        <w:rPr>
          <w:rFonts w:hAnsi="Times New Roman" w:eastAsia="仿宋_GB2312"/>
          <w:color w:val="000000"/>
          <w:kern w:val="0"/>
          <w:sz w:val="32"/>
          <w:szCs w:val="32"/>
        </w:rPr>
        <w:t>根据广州市气象部门发布的相关气象证明或报告，当暴雨或大风达到保险触发条件时，保险公司即按照约定向被保险人支付保险赔款。</w:t>
      </w:r>
    </w:p>
    <w:p>
      <w:pPr>
        <w:snapToGrid w:val="0"/>
        <w:spacing w:line="336" w:lineRule="auto"/>
        <w:ind w:firstLine="640" w:firstLineChars="200"/>
        <w:rPr>
          <w:rFonts w:eastAsia="仿宋_GB2312"/>
          <w:sz w:val="32"/>
          <w:szCs w:val="32"/>
        </w:rPr>
      </w:pPr>
      <w:r>
        <w:rPr>
          <w:rFonts w:hAnsi="Times New Roman" w:eastAsia="仿宋_GB2312"/>
          <w:sz w:val="32"/>
          <w:szCs w:val="32"/>
        </w:rPr>
        <w:t>保险理赔触发条件为：暴雨：</w:t>
      </w:r>
      <w:r>
        <w:rPr>
          <w:rFonts w:hAnsi="Times New Roman" w:eastAsia="仿宋_GB2312"/>
          <w:color w:val="000000"/>
          <w:sz w:val="32"/>
          <w:szCs w:val="32"/>
        </w:rPr>
        <w:t>日降雨量</w:t>
      </w:r>
      <w:r>
        <w:rPr>
          <w:rFonts w:eastAsia="仿宋_GB2312"/>
          <w:sz w:val="32"/>
          <w:szCs w:val="32"/>
        </w:rPr>
        <w:t>≥100mm;</w:t>
      </w:r>
      <w:r>
        <w:rPr>
          <w:rFonts w:hAnsi="Times New Roman" w:eastAsia="仿宋_GB2312"/>
          <w:sz w:val="32"/>
          <w:szCs w:val="32"/>
        </w:rPr>
        <w:t>大风：日最大风速</w:t>
      </w:r>
      <w:r>
        <w:rPr>
          <w:rFonts w:eastAsia="仿宋_GB2312"/>
          <w:sz w:val="32"/>
          <w:szCs w:val="32"/>
        </w:rPr>
        <w:t>7</w:t>
      </w:r>
      <w:r>
        <w:rPr>
          <w:rFonts w:hAnsi="Times New Roman" w:eastAsia="仿宋_GB2312"/>
          <w:sz w:val="32"/>
          <w:szCs w:val="32"/>
        </w:rPr>
        <w:t>级及以上，其中一个条件触发即发生保险理赔。</w:t>
      </w:r>
    </w:p>
    <w:p>
      <w:pPr>
        <w:snapToGrid w:val="0"/>
        <w:spacing w:line="336" w:lineRule="auto"/>
        <w:ind w:firstLine="640" w:firstLineChars="200"/>
        <w:rPr>
          <w:rFonts w:eastAsia="黑体"/>
          <w:bCs/>
          <w:color w:val="000000"/>
          <w:kern w:val="0"/>
          <w:sz w:val="32"/>
          <w:szCs w:val="32"/>
        </w:rPr>
      </w:pPr>
      <w:r>
        <w:rPr>
          <w:rFonts w:hAnsi="Times New Roman" w:eastAsia="黑体"/>
          <w:bCs/>
          <w:color w:val="000000"/>
          <w:kern w:val="0"/>
          <w:sz w:val="32"/>
          <w:szCs w:val="32"/>
        </w:rPr>
        <w:t>三、方案主要内容</w:t>
      </w:r>
    </w:p>
    <w:p>
      <w:pPr>
        <w:spacing w:line="336" w:lineRule="auto"/>
        <w:ind w:firstLine="643" w:firstLineChars="200"/>
        <w:rPr>
          <w:rFonts w:eastAsia="仿宋_GB2312"/>
          <w:sz w:val="32"/>
          <w:szCs w:val="32"/>
        </w:rPr>
      </w:pPr>
      <w:r>
        <w:rPr>
          <w:rFonts w:ascii="Times New Roman" w:hAnsi="Times New Roman" w:eastAsia="楷体_GB2312"/>
          <w:b/>
          <w:sz w:val="32"/>
          <w:szCs w:val="32"/>
        </w:rPr>
        <w:t>（一）试行范围。</w:t>
      </w:r>
      <w:r>
        <w:rPr>
          <w:rFonts w:hAnsi="Times New Roman" w:eastAsia="仿宋_GB2312"/>
          <w:sz w:val="32"/>
          <w:szCs w:val="32"/>
        </w:rPr>
        <w:t>在本市范围内种植蔬菜的农户、农业企业和农民专业合作社等均可投保。其中，种植面积</w:t>
      </w:r>
      <w:r>
        <w:rPr>
          <w:rFonts w:eastAsia="仿宋_GB2312"/>
          <w:sz w:val="32"/>
          <w:szCs w:val="32"/>
        </w:rPr>
        <w:t>50</w:t>
      </w:r>
      <w:r>
        <w:rPr>
          <w:rFonts w:hAnsi="Times New Roman" w:eastAsia="仿宋_GB2312"/>
          <w:sz w:val="32"/>
          <w:szCs w:val="32"/>
        </w:rPr>
        <w:t>亩以上的农户</w:t>
      </w:r>
      <w:r>
        <w:rPr>
          <w:rFonts w:eastAsia="仿宋_GB2312"/>
          <w:sz w:val="32"/>
          <w:szCs w:val="32"/>
        </w:rPr>
        <w:t>(</w:t>
      </w:r>
      <w:r>
        <w:rPr>
          <w:rFonts w:hAnsi="Times New Roman" w:eastAsia="仿宋_GB2312"/>
          <w:sz w:val="32"/>
          <w:szCs w:val="32"/>
        </w:rPr>
        <w:t>企业、合作社等</w:t>
      </w:r>
      <w:r>
        <w:rPr>
          <w:rFonts w:eastAsia="仿宋_GB2312"/>
          <w:sz w:val="32"/>
          <w:szCs w:val="32"/>
        </w:rPr>
        <w:t>)</w:t>
      </w:r>
      <w:r>
        <w:rPr>
          <w:rFonts w:hAnsi="Times New Roman" w:eastAsia="仿宋_GB2312"/>
          <w:sz w:val="32"/>
          <w:szCs w:val="32"/>
        </w:rPr>
        <w:t>可单独投保，其他农户以行政村为单位集体投保。</w:t>
      </w:r>
    </w:p>
    <w:p>
      <w:pPr>
        <w:spacing w:line="336" w:lineRule="auto"/>
        <w:ind w:firstLine="643" w:firstLineChars="200"/>
        <w:rPr>
          <w:rFonts w:eastAsia="仿宋_GB2312"/>
          <w:sz w:val="32"/>
          <w:szCs w:val="32"/>
        </w:rPr>
      </w:pPr>
      <w:r>
        <w:rPr>
          <w:rFonts w:ascii="Times New Roman" w:hAnsi="Times New Roman" w:eastAsia="楷体_GB2312"/>
          <w:b/>
          <w:sz w:val="32"/>
          <w:szCs w:val="32"/>
        </w:rPr>
        <w:t>（二）试行险种。</w:t>
      </w:r>
      <w:r>
        <w:rPr>
          <w:rFonts w:hAnsi="Times New Roman" w:eastAsia="仿宋_GB2312"/>
          <w:sz w:val="32"/>
          <w:szCs w:val="32"/>
        </w:rPr>
        <w:t>符合条件的参保对象所种植的大棚和露地蔬菜。</w:t>
      </w:r>
    </w:p>
    <w:p>
      <w:pPr>
        <w:spacing w:line="336" w:lineRule="auto"/>
        <w:ind w:firstLine="643" w:firstLineChars="200"/>
        <w:rPr>
          <w:rFonts w:eastAsia="仿宋_GB2312"/>
          <w:sz w:val="32"/>
          <w:szCs w:val="32"/>
        </w:rPr>
      </w:pPr>
      <w:r>
        <w:rPr>
          <w:rFonts w:ascii="Times New Roman" w:hAnsi="Times New Roman" w:eastAsia="楷体_GB2312"/>
          <w:b/>
          <w:sz w:val="32"/>
          <w:szCs w:val="32"/>
        </w:rPr>
        <w:t>（三）试行时间。</w:t>
      </w:r>
      <w:r>
        <w:rPr>
          <w:rFonts w:eastAsia="仿宋_GB2312"/>
          <w:sz w:val="32"/>
          <w:szCs w:val="32"/>
        </w:rPr>
        <w:t>2019</w:t>
      </w:r>
      <w:r>
        <w:rPr>
          <w:rFonts w:hAnsi="Times New Roman" w:eastAsia="仿宋_GB2312"/>
          <w:sz w:val="32"/>
          <w:szCs w:val="32"/>
        </w:rPr>
        <w:t>年～</w:t>
      </w:r>
      <w:r>
        <w:rPr>
          <w:rFonts w:eastAsia="仿宋_GB2312"/>
          <w:sz w:val="32"/>
          <w:szCs w:val="32"/>
        </w:rPr>
        <w:t>2020</w:t>
      </w:r>
      <w:r>
        <w:rPr>
          <w:rFonts w:hAnsi="Times New Roman" w:eastAsia="仿宋_GB2312"/>
          <w:sz w:val="32"/>
          <w:szCs w:val="32"/>
        </w:rPr>
        <w:t>年。</w:t>
      </w:r>
    </w:p>
    <w:p>
      <w:pPr>
        <w:spacing w:line="336" w:lineRule="auto"/>
        <w:ind w:firstLine="643" w:firstLineChars="200"/>
        <w:rPr>
          <w:rFonts w:eastAsia="仿宋_GB2312"/>
          <w:sz w:val="32"/>
          <w:szCs w:val="32"/>
        </w:rPr>
      </w:pPr>
      <w:r>
        <w:rPr>
          <w:rFonts w:ascii="Times New Roman" w:hAnsi="Times New Roman" w:eastAsia="楷体_GB2312"/>
          <w:b/>
          <w:sz w:val="32"/>
          <w:szCs w:val="32"/>
        </w:rPr>
        <w:t>（四）保险责任。</w:t>
      </w:r>
      <w:r>
        <w:rPr>
          <w:rFonts w:hAnsi="Times New Roman" w:eastAsia="仿宋_GB2312"/>
          <w:sz w:val="32"/>
          <w:szCs w:val="32"/>
        </w:rPr>
        <w:t>在保险期间内，达到如下气象触发条件时，保险公司按照约定负责赔偿：</w:t>
      </w:r>
    </w:p>
    <w:p>
      <w:pPr>
        <w:spacing w:line="336" w:lineRule="auto"/>
        <w:ind w:firstLine="640" w:firstLineChars="200"/>
        <w:rPr>
          <w:rFonts w:eastAsia="仿宋_GB2312"/>
          <w:sz w:val="32"/>
          <w:szCs w:val="32"/>
        </w:rPr>
      </w:pPr>
      <w:r>
        <w:rPr>
          <w:rFonts w:eastAsia="仿宋_GB2312"/>
          <w:sz w:val="32"/>
          <w:szCs w:val="32"/>
        </w:rPr>
        <w:t>1.</w:t>
      </w:r>
      <w:r>
        <w:rPr>
          <w:rFonts w:hAnsi="Times New Roman" w:eastAsia="仿宋_GB2312"/>
          <w:sz w:val="32"/>
          <w:szCs w:val="32"/>
        </w:rPr>
        <w:t>保险标的遭遇单日降雨量达到</w:t>
      </w:r>
      <w:r>
        <w:rPr>
          <w:rFonts w:eastAsia="仿宋_GB2312"/>
          <w:sz w:val="32"/>
          <w:szCs w:val="32"/>
        </w:rPr>
        <w:t>100</w:t>
      </w:r>
      <w:r>
        <w:rPr>
          <w:rFonts w:hint="default" w:hAnsi="Times New Roman" w:eastAsia="仿宋_GB2312"/>
          <w:sz w:val="32"/>
          <w:szCs w:val="32"/>
        </w:rPr>
        <w:t>mm</w:t>
      </w:r>
      <w:r>
        <w:rPr>
          <w:rFonts w:hAnsi="Times New Roman" w:eastAsia="仿宋_GB2312"/>
          <w:sz w:val="32"/>
          <w:szCs w:val="32"/>
        </w:rPr>
        <w:t>及以上的；</w:t>
      </w:r>
    </w:p>
    <w:p>
      <w:pPr>
        <w:spacing w:line="336" w:lineRule="auto"/>
        <w:ind w:firstLine="640" w:firstLineChars="200"/>
        <w:rPr>
          <w:rFonts w:eastAsia="仿宋_GB2312"/>
          <w:sz w:val="32"/>
          <w:szCs w:val="32"/>
        </w:rPr>
      </w:pPr>
      <w:r>
        <w:rPr>
          <w:rFonts w:eastAsia="仿宋_GB2312"/>
          <w:sz w:val="32"/>
          <w:szCs w:val="32"/>
        </w:rPr>
        <w:t>2.</w:t>
      </w:r>
      <w:r>
        <w:rPr>
          <w:rFonts w:hAnsi="Times New Roman" w:eastAsia="仿宋_GB2312"/>
          <w:sz w:val="32"/>
          <w:szCs w:val="32"/>
        </w:rPr>
        <w:t>保险标的遭遇日最大风速达</w:t>
      </w:r>
      <w:r>
        <w:rPr>
          <w:rFonts w:eastAsia="仿宋_GB2312"/>
          <w:sz w:val="32"/>
          <w:szCs w:val="32"/>
        </w:rPr>
        <w:t>7</w:t>
      </w:r>
      <w:r>
        <w:rPr>
          <w:rFonts w:hAnsi="Times New Roman" w:eastAsia="仿宋_GB2312"/>
          <w:sz w:val="32"/>
          <w:szCs w:val="32"/>
        </w:rPr>
        <w:t>级及以上风力的；</w:t>
      </w:r>
    </w:p>
    <w:p>
      <w:pPr>
        <w:spacing w:line="336" w:lineRule="auto"/>
        <w:ind w:firstLine="640" w:firstLineChars="200"/>
        <w:rPr>
          <w:rFonts w:eastAsia="仿宋_GB2312"/>
          <w:sz w:val="32"/>
          <w:szCs w:val="32"/>
        </w:rPr>
      </w:pPr>
      <w:r>
        <w:rPr>
          <w:rFonts w:hAnsi="Times New Roman" w:eastAsia="仿宋_GB2312"/>
          <w:sz w:val="32"/>
          <w:szCs w:val="32"/>
        </w:rPr>
        <w:t>注：（</w:t>
      </w:r>
      <w:r>
        <w:rPr>
          <w:rFonts w:eastAsia="仿宋_GB2312"/>
          <w:sz w:val="32"/>
          <w:szCs w:val="32"/>
        </w:rPr>
        <w:t>1</w:t>
      </w:r>
      <w:r>
        <w:rPr>
          <w:rFonts w:hAnsi="Times New Roman" w:eastAsia="仿宋_GB2312"/>
          <w:sz w:val="32"/>
          <w:szCs w:val="32"/>
        </w:rPr>
        <w:t>）日最大风速是指在一天给定时段内的</w:t>
      </w:r>
      <w:r>
        <w:rPr>
          <w:rFonts w:eastAsia="仿宋_GB2312"/>
          <w:sz w:val="32"/>
          <w:szCs w:val="32"/>
        </w:rPr>
        <w:t>10</w:t>
      </w:r>
      <w:r>
        <w:rPr>
          <w:rFonts w:hAnsi="Times New Roman" w:eastAsia="仿宋_GB2312"/>
          <w:sz w:val="32"/>
          <w:szCs w:val="32"/>
        </w:rPr>
        <w:t>分钟平均风速的最大值，是一个平均值。</w:t>
      </w:r>
    </w:p>
    <w:p>
      <w:pPr>
        <w:numPr>
          <w:ilvl w:val="0"/>
          <w:numId w:val="1"/>
        </w:numPr>
        <w:spacing w:line="336" w:lineRule="auto"/>
        <w:ind w:firstLine="640" w:firstLineChars="200"/>
        <w:rPr>
          <w:rFonts w:eastAsia="仿宋_GB2312"/>
          <w:sz w:val="32"/>
          <w:szCs w:val="32"/>
        </w:rPr>
      </w:pPr>
      <w:r>
        <w:rPr>
          <w:rFonts w:hAnsi="Times New Roman" w:eastAsia="仿宋_GB2312"/>
          <w:sz w:val="32"/>
          <w:szCs w:val="32"/>
        </w:rPr>
        <w:t>蔬菜气象指数保险投保时约定最近的气象站点（写入保险合同），理赔以市气象部门发布的该站点数据为准，如果该站点</w:t>
      </w:r>
      <w:r>
        <w:rPr>
          <w:rFonts w:hint="default" w:hAnsi="Times New Roman" w:eastAsia="仿宋_GB2312"/>
          <w:sz w:val="32"/>
          <w:szCs w:val="32"/>
        </w:rPr>
        <w:t>运行不正常</w:t>
      </w:r>
      <w:r>
        <w:rPr>
          <w:rFonts w:hAnsi="Times New Roman" w:eastAsia="仿宋_GB2312"/>
          <w:sz w:val="32"/>
          <w:szCs w:val="32"/>
        </w:rPr>
        <w:t>，以其他最近的站点数据为准。</w:t>
      </w:r>
    </w:p>
    <w:p>
      <w:pPr>
        <w:numPr>
          <w:ilvl w:val="0"/>
          <w:numId w:val="1"/>
        </w:numPr>
        <w:spacing w:line="336" w:lineRule="auto"/>
        <w:ind w:firstLine="640" w:firstLineChars="200"/>
        <w:rPr>
          <w:rFonts w:eastAsia="仿宋_GB2312"/>
          <w:sz w:val="32"/>
          <w:szCs w:val="32"/>
        </w:rPr>
      </w:pPr>
      <w:r>
        <w:rPr>
          <w:rFonts w:hAnsi="Times New Roman" w:eastAsia="仿宋_GB2312"/>
          <w:sz w:val="32"/>
          <w:szCs w:val="32"/>
        </w:rPr>
        <w:t>由于气象站点分布不均匀和实际气象数据的区域差异性，存在投保地块暴雨和大风超过或低于约定气象站点数据的可能性，方案仍约定以市气象部门发布的该站点数据为准。</w:t>
      </w:r>
    </w:p>
    <w:p>
      <w:pPr>
        <w:snapToGrid w:val="0"/>
        <w:spacing w:line="336" w:lineRule="auto"/>
        <w:ind w:firstLine="567" w:firstLineChars="0"/>
        <w:rPr>
          <w:rFonts w:eastAsia="仿宋_GB2312"/>
          <w:sz w:val="32"/>
          <w:szCs w:val="32"/>
        </w:rPr>
      </w:pPr>
      <w:r>
        <w:rPr>
          <w:rFonts w:ascii="Times New Roman" w:hAnsi="Times New Roman" w:eastAsia="楷体_GB2312"/>
          <w:b/>
          <w:sz w:val="32"/>
          <w:szCs w:val="32"/>
        </w:rPr>
        <w:t>（五）保险金额与费率。</w:t>
      </w:r>
      <w:r>
        <w:rPr>
          <w:rFonts w:hAnsi="Times New Roman" w:eastAsia="仿宋_GB2312"/>
          <w:sz w:val="32"/>
          <w:szCs w:val="32"/>
        </w:rPr>
        <w:t>每年每亩保险金额为</w:t>
      </w:r>
      <w:r>
        <w:rPr>
          <w:rFonts w:eastAsia="仿宋_GB2312"/>
          <w:sz w:val="32"/>
          <w:szCs w:val="32"/>
        </w:rPr>
        <w:t>4800</w:t>
      </w:r>
      <w:r>
        <w:rPr>
          <w:rFonts w:hAnsi="Times New Roman" w:eastAsia="仿宋_GB2312"/>
          <w:sz w:val="32"/>
          <w:szCs w:val="32"/>
        </w:rPr>
        <w:t>元，根据各区历史气象数据的差异性，为平衡各区风险和收益，保持蔬菜种植气象指数保险的可持续性，保险费率分为多档，各区对应的费率和每亩蔬菜每年保费如下：</w:t>
      </w:r>
    </w:p>
    <w:tbl>
      <w:tblPr>
        <w:tblStyle w:val="5"/>
        <w:tblW w:w="8522" w:type="dxa"/>
        <w:jc w:val="center"/>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2802"/>
        <w:gridCol w:w="2551"/>
        <w:gridCol w:w="3169"/>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802"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区</w:t>
            </w:r>
          </w:p>
        </w:tc>
        <w:tc>
          <w:tcPr>
            <w:tcW w:w="2551"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仿宋_GB2312" w:eastAsia="仿宋_GB2312" w:cs="Times New Roman"/>
                <w:color w:val="000000"/>
                <w:sz w:val="28"/>
                <w:szCs w:val="28"/>
              </w:rPr>
              <w:t>保险费率</w:t>
            </w:r>
          </w:p>
        </w:tc>
        <w:tc>
          <w:tcPr>
            <w:tcW w:w="3169" w:type="dxa"/>
            <w:vAlign w:val="center"/>
          </w:tcPr>
          <w:p>
            <w:pPr>
              <w:spacing w:line="336" w:lineRule="auto"/>
              <w:jc w:val="center"/>
              <w:rPr>
                <w:rFonts w:hint="default" w:ascii="Times New Roman" w:hAnsi="Times New Roman" w:eastAsia="仿宋_GB2312" w:cs="Times New Roman"/>
                <w:color w:val="000000"/>
                <w:sz w:val="28"/>
                <w:szCs w:val="28"/>
              </w:rPr>
            </w:pPr>
            <w:r>
              <w:rPr>
                <w:rFonts w:hint="default" w:ascii="Times New Roman" w:hAnsi="仿宋_GB2312" w:eastAsia="仿宋_GB2312" w:cs="Times New Roman"/>
                <w:sz w:val="28"/>
                <w:szCs w:val="28"/>
              </w:rPr>
              <w:t>保费（元</w:t>
            </w:r>
            <w:r>
              <w:rPr>
                <w:rFonts w:hint="default" w:ascii="Times New Roman" w:hAnsi="Times New Roman" w:eastAsia="仿宋_GB2312" w:cs="Times New Roman"/>
                <w:sz w:val="28"/>
                <w:szCs w:val="28"/>
              </w:rPr>
              <w:t>/</w:t>
            </w:r>
            <w:r>
              <w:rPr>
                <w:rFonts w:hint="default" w:ascii="Times New Roman" w:hAnsi="仿宋_GB2312" w:eastAsia="仿宋_GB2312" w:cs="Times New Roman"/>
                <w:sz w:val="28"/>
                <w:szCs w:val="28"/>
              </w:rPr>
              <w:t>亩</w:t>
            </w:r>
            <w:r>
              <w:rPr>
                <w:rFonts w:hint="default" w:ascii="Times New Roman" w:hAnsi="Times New Roman" w:eastAsia="仿宋_GB2312" w:cs="Times New Roman"/>
                <w:sz w:val="28"/>
                <w:szCs w:val="28"/>
              </w:rPr>
              <w:t>·</w:t>
            </w:r>
            <w:r>
              <w:rPr>
                <w:rFonts w:hint="default" w:ascii="Times New Roman" w:hAnsi="仿宋_GB2312" w:eastAsia="仿宋_GB2312" w:cs="Times New Roman"/>
                <w:sz w:val="28"/>
                <w:szCs w:val="28"/>
              </w:rPr>
              <w:t>年）</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802"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花都区</w:t>
            </w:r>
          </w:p>
        </w:tc>
        <w:tc>
          <w:tcPr>
            <w:tcW w:w="2551"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w:t>
            </w:r>
          </w:p>
        </w:tc>
        <w:tc>
          <w:tcPr>
            <w:tcW w:w="3169" w:type="dxa"/>
            <w:vAlign w:val="center"/>
          </w:tcPr>
          <w:p>
            <w:pPr>
              <w:spacing w:line="336" w:lineRule="auto"/>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336</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2802"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黄埔区</w:t>
            </w:r>
          </w:p>
        </w:tc>
        <w:tc>
          <w:tcPr>
            <w:tcW w:w="2551"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p>
        </w:tc>
        <w:tc>
          <w:tcPr>
            <w:tcW w:w="3169" w:type="dxa"/>
            <w:vAlign w:val="center"/>
          </w:tcPr>
          <w:p>
            <w:pPr>
              <w:spacing w:line="336" w:lineRule="auto"/>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384</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802"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天河区</w:t>
            </w:r>
          </w:p>
        </w:tc>
        <w:tc>
          <w:tcPr>
            <w:tcW w:w="2551"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p>
        </w:tc>
        <w:tc>
          <w:tcPr>
            <w:tcW w:w="3169" w:type="dxa"/>
            <w:vAlign w:val="center"/>
          </w:tcPr>
          <w:p>
            <w:pPr>
              <w:spacing w:line="336" w:lineRule="auto"/>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384</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802"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海珠区</w:t>
            </w:r>
          </w:p>
        </w:tc>
        <w:tc>
          <w:tcPr>
            <w:tcW w:w="2551"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p>
        </w:tc>
        <w:tc>
          <w:tcPr>
            <w:tcW w:w="3169" w:type="dxa"/>
            <w:vAlign w:val="center"/>
          </w:tcPr>
          <w:p>
            <w:pPr>
              <w:spacing w:line="336" w:lineRule="auto"/>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384</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802"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荔湾区</w:t>
            </w:r>
          </w:p>
        </w:tc>
        <w:tc>
          <w:tcPr>
            <w:tcW w:w="2551"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p>
        </w:tc>
        <w:tc>
          <w:tcPr>
            <w:tcW w:w="3169" w:type="dxa"/>
            <w:vAlign w:val="center"/>
          </w:tcPr>
          <w:p>
            <w:pPr>
              <w:spacing w:line="336" w:lineRule="auto"/>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384</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802"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南沙区</w:t>
            </w:r>
          </w:p>
        </w:tc>
        <w:tc>
          <w:tcPr>
            <w:tcW w:w="2551"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8.5%</w:t>
            </w:r>
          </w:p>
        </w:tc>
        <w:tc>
          <w:tcPr>
            <w:tcW w:w="3169" w:type="dxa"/>
            <w:vAlign w:val="center"/>
          </w:tcPr>
          <w:p>
            <w:pPr>
              <w:spacing w:line="336" w:lineRule="auto"/>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408</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802"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白云区</w:t>
            </w:r>
          </w:p>
        </w:tc>
        <w:tc>
          <w:tcPr>
            <w:tcW w:w="2551"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w:t>
            </w:r>
          </w:p>
        </w:tc>
        <w:tc>
          <w:tcPr>
            <w:tcW w:w="3169" w:type="dxa"/>
            <w:vAlign w:val="center"/>
          </w:tcPr>
          <w:p>
            <w:pPr>
              <w:spacing w:line="336" w:lineRule="auto"/>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336</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802"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从化区</w:t>
            </w:r>
          </w:p>
        </w:tc>
        <w:tc>
          <w:tcPr>
            <w:tcW w:w="2551"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p>
        </w:tc>
        <w:tc>
          <w:tcPr>
            <w:tcW w:w="3169" w:type="dxa"/>
            <w:vAlign w:val="center"/>
          </w:tcPr>
          <w:p>
            <w:pPr>
              <w:spacing w:line="336" w:lineRule="auto"/>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384</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802"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增城区</w:t>
            </w:r>
          </w:p>
        </w:tc>
        <w:tc>
          <w:tcPr>
            <w:tcW w:w="2551"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w:t>
            </w:r>
          </w:p>
        </w:tc>
        <w:tc>
          <w:tcPr>
            <w:tcW w:w="3169" w:type="dxa"/>
            <w:vAlign w:val="center"/>
          </w:tcPr>
          <w:p>
            <w:pPr>
              <w:spacing w:line="336" w:lineRule="auto"/>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336</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2802"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仿宋_GB2312" w:eastAsia="仿宋_GB2312" w:cs="Times New Roman"/>
                <w:sz w:val="28"/>
                <w:szCs w:val="28"/>
              </w:rPr>
              <w:t>番禺区</w:t>
            </w:r>
          </w:p>
        </w:tc>
        <w:tc>
          <w:tcPr>
            <w:tcW w:w="2551" w:type="dxa"/>
            <w:vAlign w:val="center"/>
          </w:tcPr>
          <w:p>
            <w:pPr>
              <w:spacing w:line="336"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c>
          <w:tcPr>
            <w:tcW w:w="3169" w:type="dxa"/>
            <w:vAlign w:val="center"/>
          </w:tcPr>
          <w:p>
            <w:pPr>
              <w:spacing w:line="336" w:lineRule="auto"/>
              <w:jc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240</w:t>
            </w:r>
          </w:p>
        </w:tc>
      </w:tr>
    </w:tbl>
    <w:p>
      <w:pPr>
        <w:spacing w:line="336" w:lineRule="auto"/>
        <w:ind w:firstLine="640" w:firstLineChars="200"/>
        <w:rPr>
          <w:rFonts w:eastAsia="仿宋_GB2312"/>
          <w:sz w:val="32"/>
          <w:szCs w:val="32"/>
        </w:rPr>
      </w:pPr>
      <w:r>
        <w:rPr>
          <w:rFonts w:hAnsi="Times New Roman" w:eastAsia="仿宋_GB2312"/>
          <w:sz w:val="32"/>
          <w:szCs w:val="32"/>
        </w:rPr>
        <w:t>总保险金额</w:t>
      </w:r>
      <w:r>
        <w:rPr>
          <w:rFonts w:eastAsia="仿宋_GB2312"/>
          <w:sz w:val="32"/>
          <w:szCs w:val="32"/>
        </w:rPr>
        <w:t>=</w:t>
      </w:r>
      <w:r>
        <w:rPr>
          <w:rFonts w:hAnsi="Times New Roman" w:eastAsia="仿宋_GB2312"/>
          <w:sz w:val="32"/>
          <w:szCs w:val="32"/>
        </w:rPr>
        <w:t>每亩保险金额</w:t>
      </w:r>
      <w:r>
        <w:rPr>
          <w:rFonts w:eastAsia="仿宋_GB2312"/>
          <w:sz w:val="32"/>
          <w:szCs w:val="32"/>
        </w:rPr>
        <w:t>×</w:t>
      </w:r>
      <w:r>
        <w:rPr>
          <w:rFonts w:hAnsi="Times New Roman" w:eastAsia="仿宋_GB2312"/>
          <w:sz w:val="32"/>
          <w:szCs w:val="32"/>
        </w:rPr>
        <w:t>投保面积</w:t>
      </w:r>
    </w:p>
    <w:p>
      <w:pPr>
        <w:spacing w:line="336" w:lineRule="auto"/>
        <w:ind w:firstLine="640" w:firstLineChars="200"/>
        <w:rPr>
          <w:rFonts w:eastAsia="仿宋_GB2312"/>
          <w:sz w:val="32"/>
          <w:szCs w:val="32"/>
        </w:rPr>
      </w:pPr>
      <w:r>
        <w:rPr>
          <w:rFonts w:hAnsi="Times New Roman" w:eastAsia="仿宋_GB2312"/>
          <w:sz w:val="32"/>
          <w:szCs w:val="32"/>
        </w:rPr>
        <w:t>保险费</w:t>
      </w:r>
      <w:r>
        <w:rPr>
          <w:rFonts w:eastAsia="仿宋_GB2312"/>
          <w:sz w:val="32"/>
          <w:szCs w:val="32"/>
        </w:rPr>
        <w:t>=</w:t>
      </w:r>
      <w:r>
        <w:rPr>
          <w:rFonts w:hAnsi="Times New Roman" w:eastAsia="仿宋_GB2312"/>
          <w:sz w:val="32"/>
          <w:szCs w:val="32"/>
        </w:rPr>
        <w:t>保险金额</w:t>
      </w:r>
      <w:r>
        <w:rPr>
          <w:rFonts w:eastAsia="仿宋_GB2312"/>
          <w:sz w:val="32"/>
          <w:szCs w:val="32"/>
        </w:rPr>
        <w:t>×</w:t>
      </w:r>
      <w:r>
        <w:rPr>
          <w:rFonts w:hAnsi="Times New Roman" w:eastAsia="仿宋_GB2312"/>
          <w:sz w:val="32"/>
          <w:szCs w:val="32"/>
        </w:rPr>
        <w:t>保险费率</w:t>
      </w:r>
    </w:p>
    <w:p>
      <w:pPr>
        <w:spacing w:line="336" w:lineRule="auto"/>
        <w:ind w:firstLine="643" w:firstLineChars="200"/>
        <w:rPr>
          <w:rFonts w:eastAsia="仿宋_GB2312"/>
          <w:sz w:val="32"/>
          <w:szCs w:val="32"/>
        </w:rPr>
      </w:pPr>
      <w:r>
        <w:rPr>
          <w:rFonts w:ascii="Times New Roman" w:hAnsi="Times New Roman" w:eastAsia="楷体_GB2312"/>
          <w:b/>
          <w:sz w:val="32"/>
          <w:szCs w:val="32"/>
        </w:rPr>
        <w:t>（六）保险期限。</w:t>
      </w:r>
      <w:r>
        <w:rPr>
          <w:rFonts w:hAnsi="Times New Roman" w:eastAsia="仿宋_GB2312"/>
          <w:sz w:val="32"/>
          <w:szCs w:val="32"/>
        </w:rPr>
        <w:t>保险期限按年执行，参保农户（企业、合作社）与承保机构逐年签订保单，</w:t>
      </w:r>
      <w:r>
        <w:rPr>
          <w:rFonts w:hAnsi="Times New Roman" w:eastAsia="仿宋_GB2312"/>
          <w:bCs/>
          <w:sz w:val="32"/>
          <w:szCs w:val="32"/>
        </w:rPr>
        <w:t>一年限签一次</w:t>
      </w:r>
      <w:r>
        <w:rPr>
          <w:rFonts w:hAnsi="Times New Roman" w:eastAsia="仿宋_GB2312"/>
          <w:sz w:val="32"/>
          <w:szCs w:val="32"/>
        </w:rPr>
        <w:t>，具体保险期限以保单载明保险起讫时间为准。</w:t>
      </w:r>
    </w:p>
    <w:p>
      <w:pPr>
        <w:snapToGrid w:val="0"/>
        <w:spacing w:line="336" w:lineRule="auto"/>
        <w:ind w:firstLine="567" w:firstLineChars="0"/>
        <w:rPr>
          <w:rFonts w:eastAsia="仿宋_GB2312"/>
          <w:sz w:val="32"/>
          <w:szCs w:val="32"/>
        </w:rPr>
      </w:pPr>
      <w:r>
        <w:rPr>
          <w:rFonts w:ascii="Times New Roman" w:hAnsi="Times New Roman" w:eastAsia="楷体_GB2312"/>
          <w:b/>
          <w:sz w:val="32"/>
          <w:szCs w:val="32"/>
        </w:rPr>
        <w:t>（七）理赔处理。</w:t>
      </w:r>
      <w:r>
        <w:rPr>
          <w:rFonts w:hAnsi="Times New Roman" w:eastAsia="仿宋_GB2312"/>
          <w:sz w:val="32"/>
          <w:szCs w:val="32"/>
        </w:rPr>
        <w:t>理赔时每年每亩最高赔款金额不超过每亩保险金额。理赔频率与市气象部门相关气象证明或报告的发布频率保持一致。当气象条件（具体以市气象部门发布的保单约定气象测报站实测数据为准）满足以下保险理赔触发值时，保险公司按照保险合同约定支付赔款：</w:t>
      </w:r>
    </w:p>
    <w:p>
      <w:pPr>
        <w:snapToGrid w:val="0"/>
        <w:spacing w:line="336" w:lineRule="auto"/>
        <w:ind w:firstLine="567"/>
        <w:rPr>
          <w:rFonts w:eastAsia="仿宋_GB2312"/>
          <w:b/>
          <w:sz w:val="32"/>
          <w:szCs w:val="32"/>
        </w:rPr>
      </w:pPr>
      <w:r>
        <w:rPr>
          <w:rFonts w:eastAsia="仿宋_GB2312"/>
          <w:b/>
          <w:sz w:val="32"/>
          <w:szCs w:val="32"/>
        </w:rPr>
        <w:t>1</w:t>
      </w:r>
      <w:r>
        <w:rPr>
          <w:rFonts w:hAnsi="Times New Roman" w:eastAsia="仿宋_GB2312"/>
          <w:b/>
          <w:sz w:val="32"/>
          <w:szCs w:val="32"/>
        </w:rPr>
        <w:t>、日降雨量</w:t>
      </w:r>
    </w:p>
    <w:p>
      <w:pPr>
        <w:snapToGrid w:val="0"/>
        <w:spacing w:line="336" w:lineRule="auto"/>
        <w:ind w:firstLine="567"/>
        <w:rPr>
          <w:rFonts w:eastAsia="仿宋_GB2312"/>
          <w:sz w:val="32"/>
          <w:szCs w:val="32"/>
        </w:rPr>
      </w:pPr>
      <w:r>
        <w:rPr>
          <w:rFonts w:hAnsi="Times New Roman" w:eastAsia="仿宋_GB2312"/>
          <w:sz w:val="32"/>
          <w:szCs w:val="32"/>
        </w:rPr>
        <w:t>根据市气象部门提供的保险标的所在</w:t>
      </w:r>
      <w:r>
        <w:rPr>
          <w:rFonts w:eastAsia="仿宋_GB2312"/>
          <w:sz w:val="32"/>
          <w:szCs w:val="32"/>
        </w:rPr>
        <w:t>地</w:t>
      </w:r>
      <w:r>
        <w:rPr>
          <w:rFonts w:hAnsi="Times New Roman" w:eastAsia="仿宋_GB2312"/>
          <w:sz w:val="32"/>
          <w:szCs w:val="32"/>
        </w:rPr>
        <w:t>实际日累计降雨量的相关证明或报告，保险公司按以下公式进行赔偿：</w:t>
      </w:r>
    </w:p>
    <w:p>
      <w:pPr>
        <w:snapToGrid w:val="0"/>
        <w:spacing w:line="336" w:lineRule="auto"/>
        <w:ind w:firstLine="567"/>
        <w:rPr>
          <w:rFonts w:eastAsia="仿宋_GB2312"/>
          <w:sz w:val="32"/>
          <w:szCs w:val="32"/>
        </w:rPr>
      </w:pPr>
      <w:r>
        <w:rPr>
          <w:rFonts w:hAnsi="Times New Roman" w:eastAsia="仿宋_GB2312"/>
          <w:sz w:val="32"/>
          <w:szCs w:val="32"/>
        </w:rPr>
        <w:t>总赔付金额</w:t>
      </w:r>
      <w:r>
        <w:rPr>
          <w:rFonts w:eastAsia="仿宋_GB2312"/>
          <w:sz w:val="32"/>
          <w:szCs w:val="32"/>
        </w:rPr>
        <w:t>=</w:t>
      </w:r>
      <w:r>
        <w:rPr>
          <w:rFonts w:hAnsi="Times New Roman" w:eastAsia="仿宋_GB2312"/>
          <w:sz w:val="32"/>
          <w:szCs w:val="32"/>
        </w:rPr>
        <w:t>投保面积</w:t>
      </w:r>
      <w:r>
        <w:rPr>
          <w:rFonts w:eastAsia="仿宋_GB2312"/>
          <w:sz w:val="32"/>
          <w:szCs w:val="32"/>
        </w:rPr>
        <w:t>×</w:t>
      </w:r>
      <w:r>
        <w:rPr>
          <w:rFonts w:hAnsi="Times New Roman" w:eastAsia="仿宋_GB2312"/>
          <w:sz w:val="32"/>
          <w:szCs w:val="32"/>
        </w:rPr>
        <w:t>每亩赔偿金额（见下表）</w:t>
      </w:r>
    </w:p>
    <w:tbl>
      <w:tblPr>
        <w:tblStyle w:val="5"/>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77"/>
        <w:gridCol w:w="4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jc w:val="center"/>
        </w:trPr>
        <w:tc>
          <w:tcPr>
            <w:tcW w:w="4077" w:type="dxa"/>
            <w:vAlign w:val="center"/>
          </w:tcPr>
          <w:p>
            <w:pPr>
              <w:spacing w:line="336" w:lineRule="auto"/>
              <w:jc w:val="center"/>
              <w:rPr>
                <w:rFonts w:hint="default" w:ascii="Times New Roman" w:hAnsi="Times New Roman" w:eastAsia="仿宋_GB2312" w:cs="Times New Roman"/>
                <w:sz w:val="30"/>
                <w:szCs w:val="30"/>
              </w:rPr>
            </w:pPr>
            <w:r>
              <w:rPr>
                <w:rFonts w:hint="default" w:ascii="Times New Roman" w:hAnsi="仿宋_GB2312" w:eastAsia="仿宋_GB2312" w:cs="Times New Roman"/>
                <w:color w:val="000000"/>
                <w:sz w:val="30"/>
                <w:szCs w:val="30"/>
              </w:rPr>
              <w:t>实际日降雨量</w:t>
            </w:r>
          </w:p>
        </w:tc>
        <w:tc>
          <w:tcPr>
            <w:tcW w:w="4445" w:type="dxa"/>
            <w:vAlign w:val="center"/>
          </w:tcPr>
          <w:p>
            <w:pPr>
              <w:spacing w:line="336" w:lineRule="auto"/>
              <w:jc w:val="center"/>
              <w:rPr>
                <w:rFonts w:hint="default" w:ascii="Times New Roman" w:hAnsi="Times New Roman" w:eastAsia="仿宋_GB2312" w:cs="Times New Roman"/>
                <w:sz w:val="30"/>
                <w:szCs w:val="30"/>
              </w:rPr>
            </w:pPr>
            <w:r>
              <w:rPr>
                <w:rFonts w:hint="default" w:ascii="Times New Roman" w:hAnsi="仿宋_GB2312" w:eastAsia="仿宋_GB2312" w:cs="Times New Roman"/>
                <w:color w:val="000000"/>
                <w:sz w:val="30"/>
                <w:szCs w:val="30"/>
              </w:rPr>
              <w:t>每亩赔偿金额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jc w:val="center"/>
        </w:trPr>
        <w:tc>
          <w:tcPr>
            <w:tcW w:w="4077" w:type="dxa"/>
            <w:vAlign w:val="center"/>
          </w:tcPr>
          <w:p>
            <w:pPr>
              <w:spacing w:line="336" w:lineRule="auto"/>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100mm(</w:t>
            </w:r>
            <w:r>
              <w:rPr>
                <w:rFonts w:hint="default" w:ascii="Times New Roman" w:hAnsi="仿宋_GB2312" w:eastAsia="仿宋_GB2312" w:cs="Times New Roman"/>
                <w:color w:val="000000"/>
                <w:sz w:val="30"/>
                <w:szCs w:val="30"/>
              </w:rPr>
              <w:t>含</w:t>
            </w:r>
            <w:r>
              <w:rPr>
                <w:rFonts w:hint="default" w:ascii="Times New Roman" w:hAnsi="Times New Roman" w:eastAsia="仿宋_GB2312" w:cs="Times New Roman"/>
                <w:color w:val="000000"/>
                <w:sz w:val="30"/>
                <w:szCs w:val="30"/>
              </w:rPr>
              <w:t>)</w:t>
            </w:r>
            <w:r>
              <w:rPr>
                <w:rFonts w:hint="default" w:ascii="Times New Roman" w:hAnsi="仿宋_GB2312" w:eastAsia="仿宋_GB2312" w:cs="Times New Roman"/>
                <w:color w:val="000000"/>
                <w:sz w:val="30"/>
                <w:szCs w:val="30"/>
              </w:rPr>
              <w:t>至</w:t>
            </w:r>
            <w:r>
              <w:rPr>
                <w:rFonts w:hint="default" w:ascii="Times New Roman" w:hAnsi="Times New Roman" w:eastAsia="仿宋_GB2312" w:cs="Times New Roman"/>
                <w:color w:val="000000"/>
                <w:sz w:val="30"/>
                <w:szCs w:val="30"/>
              </w:rPr>
              <w:t>150mm</w:t>
            </w:r>
            <w:r>
              <w:rPr>
                <w:rFonts w:hint="default" w:ascii="Times New Roman" w:hAnsi="仿宋_GB2312" w:eastAsia="仿宋_GB2312" w:cs="Times New Roman"/>
                <w:color w:val="000000"/>
                <w:sz w:val="30"/>
                <w:szCs w:val="30"/>
              </w:rPr>
              <w:t>（不含）</w:t>
            </w:r>
          </w:p>
        </w:tc>
        <w:tc>
          <w:tcPr>
            <w:tcW w:w="4445" w:type="dxa"/>
            <w:vAlign w:val="center"/>
          </w:tcPr>
          <w:p>
            <w:pPr>
              <w:spacing w:line="336" w:lineRule="auto"/>
              <w:jc w:val="center"/>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100+(</w:t>
            </w:r>
            <w:r>
              <w:rPr>
                <w:rFonts w:hint="default" w:ascii="Times New Roman" w:hAnsi="仿宋_GB2312" w:eastAsia="仿宋_GB2312" w:cs="Times New Roman"/>
                <w:color w:val="000000"/>
                <w:sz w:val="30"/>
                <w:szCs w:val="30"/>
              </w:rPr>
              <w:t>实际日降雨量</w:t>
            </w:r>
            <w:r>
              <w:rPr>
                <w:rFonts w:hint="default" w:ascii="Times New Roman" w:hAnsi="Times New Roman" w:eastAsia="仿宋_GB2312" w:cs="Times New Roman"/>
                <w:color w:val="000000"/>
                <w:sz w:val="30"/>
                <w:szCs w:val="30"/>
              </w:rPr>
              <w:t>-100)×0.5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jc w:val="center"/>
        </w:trPr>
        <w:tc>
          <w:tcPr>
            <w:tcW w:w="4077" w:type="dxa"/>
            <w:vAlign w:val="center"/>
          </w:tcPr>
          <w:p>
            <w:pPr>
              <w:spacing w:line="336" w:lineRule="auto"/>
              <w:jc w:val="center"/>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150mm(</w:t>
            </w:r>
            <w:r>
              <w:rPr>
                <w:rFonts w:hint="default" w:ascii="Times New Roman" w:hAnsi="仿宋_GB2312" w:eastAsia="仿宋_GB2312" w:cs="Times New Roman"/>
                <w:color w:val="000000"/>
                <w:sz w:val="30"/>
                <w:szCs w:val="30"/>
              </w:rPr>
              <w:t>含</w:t>
            </w:r>
            <w:r>
              <w:rPr>
                <w:rFonts w:hint="default" w:ascii="Times New Roman" w:hAnsi="Times New Roman" w:eastAsia="仿宋_GB2312" w:cs="Times New Roman"/>
                <w:color w:val="000000"/>
                <w:sz w:val="30"/>
                <w:szCs w:val="30"/>
              </w:rPr>
              <w:t>)</w:t>
            </w:r>
            <w:r>
              <w:rPr>
                <w:rFonts w:hint="default" w:ascii="Times New Roman" w:hAnsi="仿宋_GB2312" w:eastAsia="仿宋_GB2312" w:cs="Times New Roman"/>
                <w:color w:val="000000"/>
                <w:sz w:val="30"/>
                <w:szCs w:val="30"/>
              </w:rPr>
              <w:t>至</w:t>
            </w:r>
            <w:r>
              <w:rPr>
                <w:rFonts w:hint="default" w:ascii="Times New Roman" w:hAnsi="Times New Roman" w:eastAsia="仿宋_GB2312" w:cs="Times New Roman"/>
                <w:color w:val="000000"/>
                <w:sz w:val="30"/>
                <w:szCs w:val="30"/>
              </w:rPr>
              <w:t>200mm</w:t>
            </w:r>
            <w:r>
              <w:rPr>
                <w:rFonts w:hint="default" w:ascii="Times New Roman" w:hAnsi="仿宋_GB2312" w:eastAsia="仿宋_GB2312" w:cs="Times New Roman"/>
                <w:color w:val="000000"/>
                <w:sz w:val="30"/>
                <w:szCs w:val="30"/>
              </w:rPr>
              <w:t>（不含）</w:t>
            </w:r>
          </w:p>
        </w:tc>
        <w:tc>
          <w:tcPr>
            <w:tcW w:w="4445" w:type="dxa"/>
            <w:vAlign w:val="center"/>
          </w:tcPr>
          <w:p>
            <w:pPr>
              <w:spacing w:line="336" w:lineRule="auto"/>
              <w:jc w:val="center"/>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100+(</w:t>
            </w:r>
            <w:r>
              <w:rPr>
                <w:rFonts w:hint="default" w:ascii="Times New Roman" w:hAnsi="仿宋_GB2312" w:eastAsia="仿宋_GB2312" w:cs="Times New Roman"/>
                <w:color w:val="000000"/>
                <w:sz w:val="30"/>
                <w:szCs w:val="30"/>
              </w:rPr>
              <w:t>实际日降雨量</w:t>
            </w:r>
            <w:r>
              <w:rPr>
                <w:rFonts w:hint="default" w:ascii="Times New Roman" w:hAnsi="Times New Roman" w:eastAsia="仿宋_GB2312" w:cs="Times New Roman"/>
                <w:color w:val="000000"/>
                <w:sz w:val="30"/>
                <w:szCs w:val="30"/>
              </w:rPr>
              <w:t>-100)×0.75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jc w:val="center"/>
        </w:trPr>
        <w:tc>
          <w:tcPr>
            <w:tcW w:w="4077" w:type="dxa"/>
            <w:vAlign w:val="center"/>
          </w:tcPr>
          <w:p>
            <w:pPr>
              <w:spacing w:line="336" w:lineRule="auto"/>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w:t>
            </w:r>
            <w:r>
              <w:rPr>
                <w:rFonts w:hint="default" w:ascii="Times New Roman" w:hAnsi="Times New Roman" w:eastAsia="仿宋_GB2312" w:cs="Times New Roman"/>
                <w:color w:val="000000"/>
                <w:sz w:val="30"/>
                <w:szCs w:val="30"/>
              </w:rPr>
              <w:t>200mm</w:t>
            </w:r>
          </w:p>
        </w:tc>
        <w:tc>
          <w:tcPr>
            <w:tcW w:w="4445" w:type="dxa"/>
            <w:vAlign w:val="center"/>
          </w:tcPr>
          <w:p>
            <w:pPr>
              <w:spacing w:line="336" w:lineRule="auto"/>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100+(</w:t>
            </w:r>
            <w:r>
              <w:rPr>
                <w:rFonts w:hint="default" w:ascii="Times New Roman" w:hAnsi="仿宋_GB2312" w:eastAsia="仿宋_GB2312" w:cs="Times New Roman"/>
                <w:color w:val="000000"/>
                <w:sz w:val="30"/>
                <w:szCs w:val="30"/>
              </w:rPr>
              <w:t>实际日降雨量</w:t>
            </w:r>
            <w:r>
              <w:rPr>
                <w:rFonts w:hint="default" w:ascii="Times New Roman" w:hAnsi="Times New Roman" w:eastAsia="仿宋_GB2312" w:cs="Times New Roman"/>
                <w:color w:val="000000"/>
                <w:sz w:val="30"/>
                <w:szCs w:val="30"/>
              </w:rPr>
              <w:t>-100)×1</w:t>
            </w:r>
          </w:p>
        </w:tc>
      </w:tr>
    </w:tbl>
    <w:p>
      <w:pPr>
        <w:spacing w:line="336" w:lineRule="auto"/>
        <w:ind w:firstLine="640" w:firstLineChars="200"/>
        <w:rPr>
          <w:rFonts w:eastAsia="仿宋_GB2312"/>
          <w:bCs/>
          <w:sz w:val="32"/>
          <w:szCs w:val="32"/>
        </w:rPr>
      </w:pPr>
      <w:r>
        <w:rPr>
          <w:rFonts w:hAnsi="Times New Roman" w:eastAsia="仿宋_GB2312"/>
          <w:bCs/>
          <w:sz w:val="32"/>
          <w:szCs w:val="32"/>
        </w:rPr>
        <w:t>注：（</w:t>
      </w:r>
      <w:r>
        <w:rPr>
          <w:rFonts w:eastAsia="仿宋_GB2312"/>
          <w:bCs/>
          <w:sz w:val="32"/>
          <w:szCs w:val="32"/>
        </w:rPr>
        <w:t>1</w:t>
      </w:r>
      <w:r>
        <w:rPr>
          <w:rFonts w:hAnsi="Times New Roman" w:eastAsia="仿宋_GB2312"/>
          <w:bCs/>
          <w:sz w:val="32"/>
          <w:szCs w:val="32"/>
        </w:rPr>
        <w:t>）蔬菜保险期间内发生多次因降雨量达到触发条件的保险事故，每发生一次，保险公司按照约定理赔一次。</w:t>
      </w:r>
    </w:p>
    <w:p>
      <w:pPr>
        <w:spacing w:line="336" w:lineRule="auto"/>
        <w:ind w:firstLine="640" w:firstLineChars="200"/>
        <w:rPr>
          <w:rFonts w:eastAsia="仿宋_GB2312"/>
          <w:bCs/>
          <w:sz w:val="32"/>
          <w:szCs w:val="32"/>
        </w:rPr>
      </w:pPr>
      <w:r>
        <w:rPr>
          <w:rFonts w:hAnsi="Times New Roman" w:eastAsia="仿宋_GB2312"/>
          <w:bCs/>
          <w:sz w:val="32"/>
          <w:szCs w:val="32"/>
        </w:rPr>
        <w:t>（</w:t>
      </w:r>
      <w:r>
        <w:rPr>
          <w:rFonts w:eastAsia="仿宋_GB2312"/>
          <w:bCs/>
          <w:sz w:val="32"/>
          <w:szCs w:val="32"/>
        </w:rPr>
        <w:t>2</w:t>
      </w:r>
      <w:r>
        <w:rPr>
          <w:rFonts w:hAnsi="Times New Roman" w:eastAsia="仿宋_GB2312"/>
          <w:bCs/>
          <w:sz w:val="32"/>
          <w:szCs w:val="32"/>
        </w:rPr>
        <w:t>）假设某日的日降雨量达到了</w:t>
      </w:r>
      <w:r>
        <w:rPr>
          <w:rFonts w:eastAsia="仿宋_GB2312"/>
          <w:bCs/>
          <w:sz w:val="32"/>
          <w:szCs w:val="32"/>
        </w:rPr>
        <w:t>120mm</w:t>
      </w:r>
      <w:r>
        <w:rPr>
          <w:rFonts w:hAnsi="Times New Roman" w:eastAsia="仿宋_GB2312"/>
          <w:bCs/>
          <w:sz w:val="32"/>
          <w:szCs w:val="32"/>
        </w:rPr>
        <w:t>，则每亩蔬菜可获得赔款为：</w:t>
      </w:r>
      <w:r>
        <w:rPr>
          <w:rFonts w:eastAsia="仿宋_GB2312"/>
          <w:bCs/>
          <w:sz w:val="32"/>
          <w:szCs w:val="32"/>
        </w:rPr>
        <w:t>100+</w:t>
      </w:r>
      <w:r>
        <w:rPr>
          <w:rFonts w:hAnsi="Times New Roman" w:eastAsia="仿宋_GB2312"/>
          <w:bCs/>
          <w:sz w:val="32"/>
          <w:szCs w:val="32"/>
        </w:rPr>
        <w:t>（</w:t>
      </w:r>
      <w:r>
        <w:rPr>
          <w:rFonts w:eastAsia="仿宋_GB2312"/>
          <w:bCs/>
          <w:sz w:val="32"/>
          <w:szCs w:val="32"/>
        </w:rPr>
        <w:t>120-100</w:t>
      </w:r>
      <w:r>
        <w:rPr>
          <w:rFonts w:hAnsi="Times New Roman" w:eastAsia="仿宋_GB2312"/>
          <w:bCs/>
          <w:sz w:val="32"/>
          <w:szCs w:val="32"/>
        </w:rPr>
        <w:t>）</w:t>
      </w:r>
      <w:r>
        <w:rPr>
          <w:rFonts w:eastAsia="仿宋_GB2312"/>
          <w:bCs/>
          <w:sz w:val="32"/>
          <w:szCs w:val="32"/>
        </w:rPr>
        <w:t>×0.5=110</w:t>
      </w:r>
      <w:r>
        <w:rPr>
          <w:rFonts w:hAnsi="Times New Roman" w:eastAsia="仿宋_GB2312"/>
          <w:bCs/>
          <w:sz w:val="32"/>
          <w:szCs w:val="32"/>
        </w:rPr>
        <w:t>元。假设某日的日降雨量达到</w:t>
      </w:r>
      <w:r>
        <w:rPr>
          <w:rFonts w:eastAsia="仿宋_GB2312"/>
          <w:bCs/>
          <w:sz w:val="32"/>
          <w:szCs w:val="32"/>
        </w:rPr>
        <w:t>17</w:t>
      </w:r>
      <w:r>
        <w:rPr>
          <w:rFonts w:hint="default" w:eastAsia="仿宋_GB2312"/>
          <w:bCs/>
          <w:sz w:val="32"/>
          <w:szCs w:val="32"/>
        </w:rPr>
        <w:t>0</w:t>
      </w:r>
      <w:r>
        <w:rPr>
          <w:rFonts w:eastAsia="仿宋_GB2312"/>
          <w:bCs/>
          <w:sz w:val="32"/>
          <w:szCs w:val="32"/>
        </w:rPr>
        <w:t>mm</w:t>
      </w:r>
      <w:r>
        <w:rPr>
          <w:rFonts w:hAnsi="Times New Roman" w:eastAsia="仿宋_GB2312"/>
          <w:bCs/>
          <w:sz w:val="32"/>
          <w:szCs w:val="32"/>
        </w:rPr>
        <w:t>，则每亩蔬菜可获得赔款为：</w:t>
      </w:r>
      <w:r>
        <w:rPr>
          <w:rFonts w:eastAsia="仿宋_GB2312"/>
          <w:bCs/>
          <w:sz w:val="32"/>
          <w:szCs w:val="32"/>
        </w:rPr>
        <w:t>100+</w:t>
      </w:r>
      <w:r>
        <w:rPr>
          <w:rFonts w:hAnsi="Times New Roman" w:eastAsia="仿宋_GB2312"/>
          <w:bCs/>
          <w:sz w:val="32"/>
          <w:szCs w:val="32"/>
        </w:rPr>
        <w:t>（</w:t>
      </w:r>
      <w:r>
        <w:rPr>
          <w:rFonts w:eastAsia="仿宋_GB2312"/>
          <w:bCs/>
          <w:sz w:val="32"/>
          <w:szCs w:val="32"/>
        </w:rPr>
        <w:t>170-100</w:t>
      </w:r>
      <w:r>
        <w:rPr>
          <w:rFonts w:hAnsi="Times New Roman" w:eastAsia="仿宋_GB2312"/>
          <w:bCs/>
          <w:sz w:val="32"/>
          <w:szCs w:val="32"/>
        </w:rPr>
        <w:t>）</w:t>
      </w:r>
      <w:r>
        <w:rPr>
          <w:rFonts w:eastAsia="仿宋_GB2312"/>
          <w:bCs/>
          <w:sz w:val="32"/>
          <w:szCs w:val="32"/>
        </w:rPr>
        <w:t>×0.75=152.5</w:t>
      </w:r>
      <w:r>
        <w:rPr>
          <w:rFonts w:hAnsi="Times New Roman" w:eastAsia="仿宋_GB2312"/>
          <w:bCs/>
          <w:sz w:val="32"/>
          <w:szCs w:val="32"/>
        </w:rPr>
        <w:t>元。假设某日的日降雨量达到</w:t>
      </w:r>
      <w:r>
        <w:rPr>
          <w:rFonts w:eastAsia="仿宋_GB2312"/>
          <w:bCs/>
          <w:sz w:val="32"/>
          <w:szCs w:val="32"/>
        </w:rPr>
        <w:t>220mm</w:t>
      </w:r>
      <w:r>
        <w:rPr>
          <w:rFonts w:hAnsi="Times New Roman" w:eastAsia="仿宋_GB2312"/>
          <w:bCs/>
          <w:sz w:val="32"/>
          <w:szCs w:val="32"/>
        </w:rPr>
        <w:t>，则每亩蔬菜可获得赔款为：</w:t>
      </w:r>
      <w:r>
        <w:rPr>
          <w:rFonts w:eastAsia="仿宋_GB2312"/>
          <w:bCs/>
          <w:sz w:val="32"/>
          <w:szCs w:val="32"/>
        </w:rPr>
        <w:t>100+</w:t>
      </w:r>
      <w:r>
        <w:rPr>
          <w:rFonts w:hAnsi="Times New Roman" w:eastAsia="仿宋_GB2312"/>
          <w:bCs/>
          <w:sz w:val="32"/>
          <w:szCs w:val="32"/>
        </w:rPr>
        <w:t>（</w:t>
      </w:r>
      <w:r>
        <w:rPr>
          <w:rFonts w:eastAsia="仿宋_GB2312"/>
          <w:bCs/>
          <w:sz w:val="32"/>
          <w:szCs w:val="32"/>
        </w:rPr>
        <w:t>220-100</w:t>
      </w:r>
      <w:r>
        <w:rPr>
          <w:rFonts w:hAnsi="Times New Roman" w:eastAsia="仿宋_GB2312"/>
          <w:bCs/>
          <w:sz w:val="32"/>
          <w:szCs w:val="32"/>
        </w:rPr>
        <w:t>）</w:t>
      </w:r>
      <w:r>
        <w:rPr>
          <w:rFonts w:eastAsia="仿宋_GB2312"/>
          <w:bCs/>
          <w:sz w:val="32"/>
          <w:szCs w:val="32"/>
        </w:rPr>
        <w:t>×1=220</w:t>
      </w:r>
      <w:r>
        <w:rPr>
          <w:rFonts w:hAnsi="Times New Roman" w:eastAsia="仿宋_GB2312"/>
          <w:bCs/>
          <w:sz w:val="32"/>
          <w:szCs w:val="32"/>
        </w:rPr>
        <w:t>元。</w:t>
      </w:r>
    </w:p>
    <w:p>
      <w:pPr>
        <w:snapToGrid w:val="0"/>
        <w:spacing w:line="336" w:lineRule="auto"/>
        <w:ind w:firstLine="567"/>
        <w:rPr>
          <w:rFonts w:eastAsia="仿宋_GB2312"/>
          <w:b/>
          <w:sz w:val="32"/>
          <w:szCs w:val="32"/>
        </w:rPr>
      </w:pPr>
      <w:r>
        <w:rPr>
          <w:rFonts w:eastAsia="仿宋_GB2312"/>
          <w:b/>
          <w:sz w:val="32"/>
          <w:szCs w:val="32"/>
        </w:rPr>
        <w:t>2</w:t>
      </w:r>
      <w:r>
        <w:rPr>
          <w:rFonts w:hAnsi="Times New Roman" w:eastAsia="仿宋_GB2312"/>
          <w:b/>
          <w:sz w:val="32"/>
          <w:szCs w:val="32"/>
        </w:rPr>
        <w:t>、风力指数</w:t>
      </w:r>
    </w:p>
    <w:p>
      <w:pPr>
        <w:snapToGrid w:val="0"/>
        <w:spacing w:line="336" w:lineRule="auto"/>
        <w:ind w:firstLine="567"/>
        <w:rPr>
          <w:rFonts w:eastAsia="仿宋_GB2312"/>
          <w:sz w:val="32"/>
          <w:szCs w:val="32"/>
        </w:rPr>
      </w:pPr>
      <w:r>
        <w:rPr>
          <w:rFonts w:hAnsi="Times New Roman" w:eastAsia="仿宋_GB2312"/>
          <w:sz w:val="32"/>
          <w:szCs w:val="32"/>
        </w:rPr>
        <w:t>根据气象部门提供的保险标的所在地发生</w:t>
      </w:r>
      <w:r>
        <w:rPr>
          <w:rFonts w:eastAsia="仿宋_GB2312"/>
          <w:sz w:val="32"/>
          <w:szCs w:val="32"/>
        </w:rPr>
        <w:t>7</w:t>
      </w:r>
      <w:r>
        <w:rPr>
          <w:rFonts w:hAnsi="Times New Roman" w:eastAsia="仿宋_GB2312"/>
          <w:sz w:val="32"/>
          <w:szCs w:val="32"/>
        </w:rPr>
        <w:t>级及以上暴风的相关证明或报告，保险公司按以下公式进行赔偿：</w:t>
      </w:r>
    </w:p>
    <w:p>
      <w:pPr>
        <w:snapToGrid w:val="0"/>
        <w:spacing w:line="336" w:lineRule="auto"/>
        <w:ind w:firstLine="567"/>
        <w:rPr>
          <w:rFonts w:eastAsia="仿宋_GB2312"/>
          <w:sz w:val="32"/>
          <w:szCs w:val="32"/>
        </w:rPr>
      </w:pPr>
      <w:r>
        <w:rPr>
          <w:rFonts w:hAnsi="Times New Roman" w:eastAsia="仿宋_GB2312"/>
          <w:sz w:val="32"/>
          <w:szCs w:val="32"/>
        </w:rPr>
        <w:t>总赔付金额</w:t>
      </w:r>
      <w:r>
        <w:rPr>
          <w:rFonts w:eastAsia="仿宋_GB2312"/>
          <w:sz w:val="32"/>
          <w:szCs w:val="32"/>
        </w:rPr>
        <w:t>=</w:t>
      </w:r>
      <w:r>
        <w:rPr>
          <w:rFonts w:hAnsi="Times New Roman" w:eastAsia="仿宋_GB2312"/>
          <w:sz w:val="32"/>
          <w:szCs w:val="32"/>
        </w:rPr>
        <w:t>投保面积</w:t>
      </w:r>
      <w:r>
        <w:rPr>
          <w:rFonts w:eastAsia="仿宋_GB2312"/>
          <w:sz w:val="32"/>
          <w:szCs w:val="32"/>
        </w:rPr>
        <w:t>×</w:t>
      </w:r>
      <w:r>
        <w:rPr>
          <w:rFonts w:hAnsi="Times New Roman" w:eastAsia="仿宋_GB2312"/>
          <w:sz w:val="32"/>
          <w:szCs w:val="32"/>
        </w:rPr>
        <w:t>每亩赔偿金额（见下表）</w:t>
      </w:r>
    </w:p>
    <w:tbl>
      <w:tblPr>
        <w:tblStyle w:val="5"/>
        <w:tblW w:w="710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1322"/>
        <w:gridCol w:w="1418"/>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5" w:hRule="atLeast"/>
          <w:jc w:val="center"/>
        </w:trPr>
        <w:tc>
          <w:tcPr>
            <w:tcW w:w="2376" w:type="dxa"/>
            <w:vAlign w:val="center"/>
          </w:tcPr>
          <w:p>
            <w:pPr>
              <w:widowControl/>
              <w:spacing w:line="336" w:lineRule="auto"/>
              <w:jc w:val="center"/>
              <w:rPr>
                <w:rFonts w:hint="default" w:ascii="Times New Roman" w:hAnsi="Times New Roman" w:eastAsia="仿宋_GB2312" w:cs="Times New Roman"/>
                <w:color w:val="000000"/>
                <w:sz w:val="30"/>
                <w:szCs w:val="30"/>
              </w:rPr>
            </w:pPr>
            <w:r>
              <w:rPr>
                <w:rFonts w:hint="default" w:ascii="Times New Roman" w:hAnsi="仿宋_GB2312" w:eastAsia="仿宋_GB2312" w:cs="Times New Roman"/>
                <w:color w:val="000000"/>
                <w:sz w:val="30"/>
                <w:szCs w:val="30"/>
              </w:rPr>
              <w:t>风力指数</w:t>
            </w:r>
          </w:p>
          <w:p>
            <w:pPr>
              <w:widowControl/>
              <w:spacing w:line="336" w:lineRule="auto"/>
              <w:jc w:val="center"/>
              <w:rPr>
                <w:rFonts w:hint="default" w:ascii="Times New Roman" w:hAnsi="Times New Roman" w:eastAsia="仿宋_GB2312" w:cs="Times New Roman"/>
                <w:color w:val="000000"/>
                <w:sz w:val="30"/>
                <w:szCs w:val="30"/>
              </w:rPr>
            </w:pPr>
            <w:r>
              <w:rPr>
                <w:rFonts w:hint="default" w:ascii="Times New Roman" w:hAnsi="仿宋_GB2312" w:eastAsia="仿宋_GB2312" w:cs="Times New Roman"/>
                <w:color w:val="000000"/>
                <w:sz w:val="30"/>
                <w:szCs w:val="30"/>
              </w:rPr>
              <w:t>（日最大风速）</w:t>
            </w:r>
          </w:p>
        </w:tc>
        <w:tc>
          <w:tcPr>
            <w:tcW w:w="1322" w:type="dxa"/>
            <w:vAlign w:val="center"/>
          </w:tcPr>
          <w:p>
            <w:pPr>
              <w:widowControl/>
              <w:spacing w:line="336" w:lineRule="auto"/>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7</w:t>
            </w:r>
            <w:r>
              <w:rPr>
                <w:rFonts w:hint="default" w:ascii="Times New Roman" w:hAnsi="仿宋_GB2312" w:eastAsia="仿宋_GB2312" w:cs="Times New Roman"/>
                <w:color w:val="000000"/>
                <w:sz w:val="30"/>
                <w:szCs w:val="30"/>
              </w:rPr>
              <w:t>级</w:t>
            </w:r>
          </w:p>
        </w:tc>
        <w:tc>
          <w:tcPr>
            <w:tcW w:w="1418" w:type="dxa"/>
            <w:vAlign w:val="center"/>
          </w:tcPr>
          <w:p>
            <w:pPr>
              <w:widowControl/>
              <w:spacing w:line="336" w:lineRule="auto"/>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8</w:t>
            </w:r>
            <w:r>
              <w:rPr>
                <w:rFonts w:hint="default" w:ascii="Times New Roman" w:hAnsi="仿宋_GB2312" w:eastAsia="仿宋_GB2312" w:cs="Times New Roman"/>
                <w:color w:val="000000"/>
                <w:sz w:val="30"/>
                <w:szCs w:val="30"/>
              </w:rPr>
              <w:t>级</w:t>
            </w:r>
          </w:p>
        </w:tc>
        <w:tc>
          <w:tcPr>
            <w:tcW w:w="1985" w:type="dxa"/>
            <w:vAlign w:val="center"/>
          </w:tcPr>
          <w:p>
            <w:pPr>
              <w:widowControl/>
              <w:spacing w:line="336" w:lineRule="auto"/>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9</w:t>
            </w:r>
            <w:r>
              <w:rPr>
                <w:rFonts w:hint="default" w:ascii="Times New Roman" w:hAnsi="仿宋_GB2312" w:eastAsia="仿宋_GB2312" w:cs="Times New Roman"/>
                <w:color w:val="000000"/>
                <w:sz w:val="30"/>
                <w:szCs w:val="30"/>
              </w:rPr>
              <w:t>级及以上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jc w:val="center"/>
        </w:trPr>
        <w:tc>
          <w:tcPr>
            <w:tcW w:w="2376" w:type="dxa"/>
            <w:vAlign w:val="center"/>
          </w:tcPr>
          <w:p>
            <w:pPr>
              <w:widowControl/>
              <w:spacing w:line="336" w:lineRule="auto"/>
              <w:jc w:val="center"/>
              <w:rPr>
                <w:rFonts w:hint="default" w:ascii="Times New Roman" w:hAnsi="Times New Roman" w:eastAsia="仿宋_GB2312" w:cs="Times New Roman"/>
                <w:color w:val="000000"/>
                <w:sz w:val="30"/>
                <w:szCs w:val="30"/>
              </w:rPr>
            </w:pPr>
            <w:r>
              <w:rPr>
                <w:rFonts w:hint="default" w:ascii="Times New Roman" w:hAnsi="仿宋_GB2312" w:eastAsia="仿宋_GB2312" w:cs="Times New Roman"/>
                <w:color w:val="000000"/>
                <w:sz w:val="30"/>
                <w:szCs w:val="30"/>
              </w:rPr>
              <w:t>每亩赔偿金额</w:t>
            </w:r>
          </w:p>
        </w:tc>
        <w:tc>
          <w:tcPr>
            <w:tcW w:w="1322" w:type="dxa"/>
            <w:vAlign w:val="center"/>
          </w:tcPr>
          <w:p>
            <w:pPr>
              <w:widowControl/>
              <w:spacing w:line="336" w:lineRule="auto"/>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100</w:t>
            </w:r>
            <w:r>
              <w:rPr>
                <w:rFonts w:hint="default" w:ascii="Times New Roman" w:hAnsi="仿宋_GB2312" w:eastAsia="仿宋_GB2312" w:cs="Times New Roman"/>
                <w:color w:val="000000"/>
                <w:sz w:val="30"/>
                <w:szCs w:val="30"/>
              </w:rPr>
              <w:t>元</w:t>
            </w:r>
          </w:p>
        </w:tc>
        <w:tc>
          <w:tcPr>
            <w:tcW w:w="1418" w:type="dxa"/>
            <w:vAlign w:val="center"/>
          </w:tcPr>
          <w:p>
            <w:pPr>
              <w:widowControl/>
              <w:spacing w:line="336" w:lineRule="auto"/>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200</w:t>
            </w:r>
            <w:r>
              <w:rPr>
                <w:rFonts w:hint="default" w:ascii="Times New Roman" w:hAnsi="仿宋_GB2312" w:eastAsia="仿宋_GB2312" w:cs="Times New Roman"/>
                <w:color w:val="000000"/>
                <w:sz w:val="30"/>
                <w:szCs w:val="30"/>
              </w:rPr>
              <w:t>元</w:t>
            </w:r>
          </w:p>
        </w:tc>
        <w:tc>
          <w:tcPr>
            <w:tcW w:w="1985" w:type="dxa"/>
            <w:vAlign w:val="center"/>
          </w:tcPr>
          <w:p>
            <w:pPr>
              <w:widowControl/>
              <w:spacing w:line="336" w:lineRule="auto"/>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400</w:t>
            </w:r>
            <w:r>
              <w:rPr>
                <w:rFonts w:hint="default" w:ascii="Times New Roman" w:hAnsi="仿宋_GB2312" w:eastAsia="仿宋_GB2312" w:cs="Times New Roman"/>
                <w:color w:val="000000"/>
                <w:sz w:val="30"/>
                <w:szCs w:val="30"/>
              </w:rPr>
              <w:t>元</w:t>
            </w:r>
          </w:p>
        </w:tc>
      </w:tr>
    </w:tbl>
    <w:p>
      <w:pPr>
        <w:spacing w:line="336" w:lineRule="auto"/>
        <w:ind w:firstLine="640" w:firstLineChars="200"/>
        <w:rPr>
          <w:rFonts w:eastAsia="仿宋_GB2312"/>
          <w:sz w:val="32"/>
          <w:szCs w:val="32"/>
        </w:rPr>
      </w:pPr>
      <w:r>
        <w:rPr>
          <w:rFonts w:hAnsi="Times New Roman" w:eastAsia="仿宋_GB2312"/>
          <w:sz w:val="32"/>
          <w:szCs w:val="32"/>
        </w:rPr>
        <w:t>注：（</w:t>
      </w:r>
      <w:r>
        <w:rPr>
          <w:rFonts w:eastAsia="仿宋_GB2312"/>
          <w:sz w:val="32"/>
          <w:szCs w:val="32"/>
        </w:rPr>
        <w:t>1</w:t>
      </w:r>
      <w:r>
        <w:rPr>
          <w:rFonts w:hAnsi="Times New Roman" w:eastAsia="仿宋_GB2312"/>
          <w:sz w:val="32"/>
          <w:szCs w:val="32"/>
        </w:rPr>
        <w:t>）蔬菜保险期间内发生多次因日最大风速达到触发条件的保险事故，每发生一次，保险公司按照约定理赔一次。日最大风速是指在一天给定时段内的</w:t>
      </w:r>
      <w:r>
        <w:rPr>
          <w:rFonts w:eastAsia="仿宋_GB2312"/>
          <w:sz w:val="32"/>
          <w:szCs w:val="32"/>
        </w:rPr>
        <w:t>10</w:t>
      </w:r>
      <w:r>
        <w:rPr>
          <w:rFonts w:hAnsi="Times New Roman" w:eastAsia="仿宋_GB2312"/>
          <w:sz w:val="32"/>
          <w:szCs w:val="32"/>
        </w:rPr>
        <w:t>分钟平均风速的最大值，是一个平均值。</w:t>
      </w:r>
    </w:p>
    <w:p>
      <w:pPr>
        <w:spacing w:line="336" w:lineRule="auto"/>
        <w:ind w:firstLine="640" w:firstLineChars="200"/>
        <w:rPr>
          <w:rFonts w:eastAsia="仿宋_GB2312"/>
          <w:bCs/>
          <w:sz w:val="32"/>
          <w:szCs w:val="32"/>
        </w:rPr>
      </w:pPr>
      <w:r>
        <w:rPr>
          <w:rFonts w:hAnsi="Times New Roman" w:eastAsia="仿宋_GB2312"/>
          <w:bCs/>
          <w:sz w:val="32"/>
          <w:szCs w:val="32"/>
        </w:rPr>
        <w:t>（</w:t>
      </w:r>
      <w:r>
        <w:rPr>
          <w:rFonts w:eastAsia="仿宋_GB2312"/>
          <w:bCs/>
          <w:sz w:val="32"/>
          <w:szCs w:val="32"/>
        </w:rPr>
        <w:t>2</w:t>
      </w:r>
      <w:r>
        <w:rPr>
          <w:rFonts w:hAnsi="Times New Roman" w:eastAsia="仿宋_GB2312"/>
          <w:bCs/>
          <w:sz w:val="32"/>
          <w:szCs w:val="32"/>
        </w:rPr>
        <w:t>）假设保险期间内遭遇一次</w:t>
      </w:r>
      <w:r>
        <w:rPr>
          <w:rFonts w:eastAsia="仿宋_GB2312"/>
          <w:bCs/>
          <w:sz w:val="32"/>
          <w:szCs w:val="32"/>
        </w:rPr>
        <w:t>7</w:t>
      </w:r>
      <w:r>
        <w:rPr>
          <w:rFonts w:hAnsi="Times New Roman" w:eastAsia="仿宋_GB2312"/>
          <w:bCs/>
          <w:sz w:val="32"/>
          <w:szCs w:val="32"/>
        </w:rPr>
        <w:t>级风，则每亩蔬菜可获得赔款为</w:t>
      </w:r>
      <w:r>
        <w:rPr>
          <w:rFonts w:eastAsia="仿宋_GB2312"/>
          <w:bCs/>
          <w:sz w:val="32"/>
          <w:szCs w:val="32"/>
        </w:rPr>
        <w:t>100</w:t>
      </w:r>
      <w:r>
        <w:rPr>
          <w:rFonts w:hAnsi="Times New Roman" w:eastAsia="仿宋_GB2312"/>
          <w:bCs/>
          <w:sz w:val="32"/>
          <w:szCs w:val="32"/>
        </w:rPr>
        <w:t>元，以此类推。</w:t>
      </w:r>
    </w:p>
    <w:p>
      <w:pPr>
        <w:snapToGrid w:val="0"/>
        <w:spacing w:line="336" w:lineRule="auto"/>
        <w:ind w:firstLine="640" w:firstLineChars="200"/>
        <w:rPr>
          <w:rFonts w:eastAsia="黑体"/>
          <w:bCs/>
          <w:color w:val="000000"/>
          <w:kern w:val="0"/>
          <w:sz w:val="32"/>
          <w:szCs w:val="32"/>
        </w:rPr>
      </w:pPr>
      <w:r>
        <w:rPr>
          <w:rFonts w:hAnsi="Times New Roman" w:eastAsia="黑体"/>
          <w:bCs/>
          <w:color w:val="000000"/>
          <w:kern w:val="0"/>
          <w:sz w:val="32"/>
          <w:szCs w:val="32"/>
        </w:rPr>
        <w:t>四、保费补贴比例及资金拨付</w:t>
      </w:r>
    </w:p>
    <w:p>
      <w:pPr>
        <w:adjustRightInd/>
        <w:snapToGrid w:val="0"/>
        <w:spacing w:line="336" w:lineRule="auto"/>
        <w:ind w:firstLine="567" w:firstLineChars="0"/>
        <w:rPr>
          <w:rFonts w:eastAsia="仿宋_GB2312"/>
          <w:sz w:val="32"/>
          <w:szCs w:val="32"/>
        </w:rPr>
      </w:pPr>
      <w:r>
        <w:rPr>
          <w:rFonts w:hint="default" w:ascii="Times New Roman" w:hAnsi="Times New Roman" w:eastAsia="楷体_GB2312"/>
          <w:b/>
          <w:sz w:val="32"/>
          <w:szCs w:val="32"/>
        </w:rPr>
        <w:t>（一）补贴比例。</w:t>
      </w:r>
      <w:r>
        <w:rPr>
          <w:rFonts w:eastAsia="仿宋_GB2312"/>
          <w:sz w:val="32"/>
          <w:szCs w:val="32"/>
        </w:rPr>
        <w:t>保险费由参保农户、企业自付20%，市、区两级财政给予补贴80%。</w:t>
      </w:r>
      <w:r>
        <w:rPr>
          <w:rFonts w:hAnsi="Times New Roman" w:eastAsia="仿宋_GB2312"/>
          <w:sz w:val="32"/>
          <w:szCs w:val="32"/>
        </w:rPr>
        <w:t>根据市政府</w:t>
      </w:r>
      <w:r>
        <w:rPr>
          <w:rFonts w:hint="default" w:hAnsi="Times New Roman" w:eastAsia="仿宋_GB2312"/>
          <w:sz w:val="32"/>
          <w:szCs w:val="32"/>
        </w:rPr>
        <w:t>关于</w:t>
      </w:r>
      <w:r>
        <w:rPr>
          <w:rFonts w:hAnsi="Times New Roman" w:eastAsia="仿宋_GB2312"/>
          <w:sz w:val="32"/>
          <w:szCs w:val="32"/>
        </w:rPr>
        <w:t>市对区财政管理体制</w:t>
      </w:r>
      <w:r>
        <w:rPr>
          <w:rFonts w:hint="default" w:hAnsi="Times New Roman" w:eastAsia="仿宋_GB2312"/>
          <w:sz w:val="32"/>
          <w:szCs w:val="32"/>
        </w:rPr>
        <w:t>有关意见和</w:t>
      </w:r>
      <w:r>
        <w:rPr>
          <w:rFonts w:hAnsi="Times New Roman" w:eastAsia="仿宋_GB2312"/>
          <w:sz w:val="32"/>
          <w:szCs w:val="32"/>
        </w:rPr>
        <w:t>方案</w:t>
      </w:r>
      <w:r>
        <w:rPr>
          <w:rFonts w:hint="default" w:hAnsi="Times New Roman" w:eastAsia="仿宋_GB2312"/>
          <w:sz w:val="32"/>
          <w:szCs w:val="32"/>
        </w:rPr>
        <w:t>要求</w:t>
      </w:r>
      <w:r>
        <w:rPr>
          <w:rFonts w:hAnsi="Times New Roman" w:eastAsia="仿宋_GB2312"/>
          <w:sz w:val="32"/>
          <w:szCs w:val="32"/>
        </w:rPr>
        <w:t>，市、区两级财政补贴负担比例为：市本级与海珠、荔湾、白云区的负担比例为</w:t>
      </w:r>
      <w:r>
        <w:rPr>
          <w:rFonts w:eastAsia="仿宋_GB2312"/>
          <w:sz w:val="32"/>
          <w:szCs w:val="32"/>
        </w:rPr>
        <w:t>5:5</w:t>
      </w:r>
      <w:r>
        <w:rPr>
          <w:rFonts w:hAnsi="Times New Roman" w:eastAsia="仿宋_GB2312"/>
          <w:sz w:val="32"/>
          <w:szCs w:val="32"/>
        </w:rPr>
        <w:t>；天河、番禺、花都区，市区按</w:t>
      </w:r>
      <w:r>
        <w:rPr>
          <w:rFonts w:eastAsia="仿宋_GB2312"/>
          <w:sz w:val="32"/>
          <w:szCs w:val="32"/>
        </w:rPr>
        <w:t>4:6</w:t>
      </w:r>
      <w:r>
        <w:rPr>
          <w:rFonts w:hAnsi="Times New Roman" w:eastAsia="仿宋_GB2312"/>
          <w:sz w:val="32"/>
          <w:szCs w:val="32"/>
        </w:rPr>
        <w:t>比例负担；南沙、黄埔区，由区全额负担；市本级与从化、增城区的负担比例分别为</w:t>
      </w:r>
      <w:r>
        <w:rPr>
          <w:rFonts w:eastAsia="仿宋_GB2312"/>
          <w:sz w:val="32"/>
          <w:szCs w:val="32"/>
        </w:rPr>
        <w:t>8:2</w:t>
      </w:r>
      <w:r>
        <w:rPr>
          <w:rFonts w:hAnsi="Times New Roman" w:eastAsia="仿宋_GB2312"/>
          <w:sz w:val="32"/>
          <w:szCs w:val="32"/>
        </w:rPr>
        <w:t>和</w:t>
      </w:r>
      <w:r>
        <w:rPr>
          <w:rFonts w:eastAsia="仿宋_GB2312"/>
          <w:sz w:val="32"/>
          <w:szCs w:val="32"/>
        </w:rPr>
        <w:t>6:4</w:t>
      </w:r>
      <w:r>
        <w:rPr>
          <w:rFonts w:hAnsi="Times New Roman" w:eastAsia="仿宋_GB2312"/>
          <w:sz w:val="32"/>
          <w:szCs w:val="32"/>
        </w:rPr>
        <w:t>。</w:t>
      </w:r>
    </w:p>
    <w:p>
      <w:pPr>
        <w:snapToGrid w:val="0"/>
        <w:spacing w:line="336" w:lineRule="auto"/>
        <w:ind w:firstLine="567" w:firstLineChars="0"/>
        <w:rPr>
          <w:rFonts w:eastAsia="仿宋_GB2312"/>
          <w:sz w:val="32"/>
          <w:szCs w:val="32"/>
        </w:rPr>
      </w:pPr>
      <w:r>
        <w:rPr>
          <w:rFonts w:ascii="Times New Roman" w:hAnsi="Times New Roman" w:eastAsia="楷体_GB2312"/>
          <w:b/>
          <w:sz w:val="32"/>
          <w:szCs w:val="32"/>
        </w:rPr>
        <w:t>（二）保费收取。</w:t>
      </w:r>
      <w:r>
        <w:rPr>
          <w:rFonts w:eastAsia="仿宋_GB2312"/>
          <w:sz w:val="32"/>
          <w:szCs w:val="32"/>
        </w:rPr>
        <w:t>按照财政部和保监会要求，各级财政对保费补贴的前提是农户（企业）缴费投保（镇或村集体代缴视同农户缴费）。</w:t>
      </w:r>
      <w:r>
        <w:rPr>
          <w:rFonts w:hAnsi="Times New Roman" w:eastAsia="仿宋_GB2312"/>
          <w:sz w:val="32"/>
          <w:szCs w:val="32"/>
        </w:rPr>
        <w:t>市、区财政按照实际缴交保费参保的数量与保险公司结算保费补贴资金。</w:t>
      </w:r>
      <w:r>
        <w:rPr>
          <w:rFonts w:eastAsia="仿宋_GB2312"/>
          <w:sz w:val="32"/>
          <w:szCs w:val="32"/>
        </w:rPr>
        <w:t>农户（企业）</w:t>
      </w:r>
      <w:r>
        <w:rPr>
          <w:rFonts w:hAnsi="Times New Roman" w:eastAsia="仿宋_GB2312"/>
          <w:sz w:val="32"/>
          <w:szCs w:val="32"/>
        </w:rPr>
        <w:t>不参保，政府不补助。</w:t>
      </w:r>
    </w:p>
    <w:p>
      <w:pPr>
        <w:snapToGrid w:val="0"/>
        <w:spacing w:line="336" w:lineRule="auto"/>
        <w:ind w:firstLine="567"/>
        <w:rPr>
          <w:rFonts w:eastAsia="仿宋_GB2312"/>
          <w:sz w:val="32"/>
          <w:szCs w:val="32"/>
        </w:rPr>
      </w:pPr>
      <w:r>
        <w:rPr>
          <w:rFonts w:ascii="Times New Roman" w:hAnsi="Times New Roman" w:eastAsia="楷体_GB2312"/>
          <w:b/>
          <w:sz w:val="32"/>
          <w:szCs w:val="32"/>
        </w:rPr>
        <w:t>（三）财政保费补贴拨付。</w:t>
      </w:r>
      <w:r>
        <w:rPr>
          <w:rFonts w:eastAsia="仿宋_GB2312"/>
          <w:sz w:val="32"/>
          <w:szCs w:val="32"/>
        </w:rPr>
        <w:t>保费补贴资金按季度结算拨付，市财政与区财政的保费补贴资金根据实际承保情况分别拨付至承保机构账户。为便于年终结算，第四季度保费补贴资金可分两次拨付，当年不能及时拨付的补贴资金于下年度第一季度拨付。保险经办机构在每季度终了7个工作日内按险种填写本区《广州市政策性蔬菜种植气象指数保险承保汇总表》和《广州市政策性蔬菜种植气象指数保险承保明细表》送当地农业主管部门申请区级保费补贴资金。同时，将各区农业主管部门盖章后的表格报市农业农村局申请市级保费补贴资金。保险经办机构对承保数据的真实性负责,各级农业部门协助办理资金拨付手续。</w:t>
      </w:r>
    </w:p>
    <w:p>
      <w:pPr>
        <w:snapToGrid w:val="0"/>
        <w:spacing w:line="336" w:lineRule="auto"/>
        <w:ind w:firstLine="640" w:firstLineChars="200"/>
        <w:rPr>
          <w:rFonts w:eastAsia="黑体"/>
          <w:bCs/>
          <w:color w:val="000000"/>
          <w:kern w:val="0"/>
          <w:sz w:val="32"/>
          <w:szCs w:val="32"/>
        </w:rPr>
      </w:pPr>
      <w:r>
        <w:rPr>
          <w:rFonts w:hAnsi="Times New Roman" w:eastAsia="黑体"/>
          <w:bCs/>
          <w:color w:val="000000"/>
          <w:kern w:val="0"/>
          <w:sz w:val="32"/>
          <w:szCs w:val="32"/>
        </w:rPr>
        <w:t>五、保险经营机构</w:t>
      </w:r>
    </w:p>
    <w:p>
      <w:pPr>
        <w:adjustRightInd w:val="0"/>
        <w:snapToGrid w:val="0"/>
        <w:spacing w:line="336" w:lineRule="auto"/>
        <w:ind w:firstLine="640" w:firstLineChars="200"/>
        <w:rPr>
          <w:rFonts w:eastAsia="仿宋_GB2312"/>
          <w:sz w:val="32"/>
          <w:szCs w:val="32"/>
        </w:rPr>
      </w:pPr>
      <w:r>
        <w:rPr>
          <w:rFonts w:eastAsia="仿宋_GB2312"/>
          <w:sz w:val="32"/>
          <w:szCs w:val="32"/>
        </w:rPr>
        <w:t>经公开招标，中标资格商为中国人民财产保险股份有限公司广州市分公司、阳光农业相互保险公司广东分公司、中国太平洋财产保险股份有限公司广东分公司、中华联合财产保险股份有限公司广州中心支公司。各中标公司及所辖各区分支机构对应承保我市各区蔬菜种植气象指数保险。由各区按《广州市农业局 广州市财政局 广州市金融工作局关于印发2018-2020年广州市政策性农业保险实施方案的通知》（穗农</w:t>
      </w:r>
      <w:r>
        <w:rPr>
          <w:rFonts w:hAnsi="Times New Roman" w:eastAsia="仿宋_GB2312"/>
          <w:sz w:val="32"/>
          <w:szCs w:val="32"/>
        </w:rPr>
        <w:t>〔</w:t>
      </w:r>
      <w:r>
        <w:rPr>
          <w:rFonts w:eastAsia="仿宋_GB2312"/>
          <w:sz w:val="32"/>
          <w:szCs w:val="32"/>
        </w:rPr>
        <w:t>2018</w:t>
      </w:r>
      <w:r>
        <w:rPr>
          <w:rFonts w:hAnsi="Times New Roman" w:eastAsia="仿宋_GB2312"/>
          <w:sz w:val="32"/>
          <w:szCs w:val="32"/>
        </w:rPr>
        <w:t>〕</w:t>
      </w:r>
      <w:r>
        <w:rPr>
          <w:rFonts w:eastAsia="仿宋_GB2312"/>
          <w:sz w:val="32"/>
          <w:szCs w:val="32"/>
        </w:rPr>
        <w:t>173</w:t>
      </w:r>
      <w:r>
        <w:rPr>
          <w:rFonts w:hAnsi="Times New Roman" w:eastAsia="仿宋_GB2312"/>
          <w:sz w:val="32"/>
          <w:szCs w:val="32"/>
        </w:rPr>
        <w:t>号</w:t>
      </w:r>
      <w:r>
        <w:rPr>
          <w:rFonts w:eastAsia="仿宋_GB2312"/>
          <w:sz w:val="32"/>
          <w:szCs w:val="32"/>
        </w:rPr>
        <w:t>）要求在4家中标商中确定保险经营机构。</w:t>
      </w:r>
    </w:p>
    <w:p>
      <w:pPr>
        <w:snapToGrid w:val="0"/>
        <w:spacing w:line="336" w:lineRule="auto"/>
        <w:ind w:firstLine="640" w:firstLineChars="200"/>
        <w:rPr>
          <w:rFonts w:eastAsia="黑体"/>
          <w:bCs/>
          <w:color w:val="000000"/>
          <w:kern w:val="0"/>
          <w:sz w:val="32"/>
          <w:szCs w:val="32"/>
        </w:rPr>
      </w:pPr>
      <w:r>
        <w:rPr>
          <w:rFonts w:hAnsi="Times New Roman" w:eastAsia="黑体"/>
          <w:bCs/>
          <w:color w:val="000000"/>
          <w:kern w:val="0"/>
          <w:sz w:val="32"/>
          <w:szCs w:val="32"/>
        </w:rPr>
        <w:t>六、承保流程</w:t>
      </w:r>
    </w:p>
    <w:p>
      <w:pPr>
        <w:snapToGrid w:val="0"/>
        <w:spacing w:line="336" w:lineRule="auto"/>
        <w:ind w:firstLine="643" w:firstLineChars="200"/>
        <w:rPr>
          <w:rFonts w:eastAsia="仿宋_GB2312"/>
          <w:sz w:val="32"/>
          <w:szCs w:val="32"/>
        </w:rPr>
      </w:pPr>
      <w:r>
        <w:rPr>
          <w:rFonts w:ascii="Times New Roman" w:hAnsi="Times New Roman" w:eastAsia="楷体_GB2312"/>
          <w:b/>
          <w:sz w:val="32"/>
          <w:szCs w:val="32"/>
        </w:rPr>
        <w:t>（一）宣传发动。</w:t>
      </w:r>
      <w:r>
        <w:rPr>
          <w:rFonts w:hAnsi="Times New Roman" w:eastAsia="仿宋_GB2312"/>
          <w:sz w:val="32"/>
          <w:szCs w:val="32"/>
        </w:rPr>
        <w:t>该项保险属创新型保险，不以实际损失为理赔标准，以市气象部门发布的数据为理赔依据。各级农业行政主管部门要积极组织宣传政策性蔬菜气象指数保险的各项内容，通过多渠道将惠农政策信息告知本地的蔬菜种植企业和种植户等。各镇（街道）协保机构、村级</w:t>
      </w:r>
      <w:r>
        <w:rPr>
          <w:rFonts w:eastAsia="仿宋_GB2312"/>
          <w:sz w:val="32"/>
          <w:szCs w:val="32"/>
        </w:rPr>
        <w:t>“</w:t>
      </w:r>
      <w:r>
        <w:rPr>
          <w:rFonts w:hAnsi="Times New Roman" w:eastAsia="仿宋_GB2312"/>
          <w:sz w:val="32"/>
          <w:szCs w:val="32"/>
        </w:rPr>
        <w:t>三农</w:t>
      </w:r>
      <w:r>
        <w:rPr>
          <w:rFonts w:eastAsia="仿宋_GB2312"/>
          <w:sz w:val="32"/>
          <w:szCs w:val="32"/>
        </w:rPr>
        <w:t>”</w:t>
      </w:r>
      <w:r>
        <w:rPr>
          <w:rFonts w:hAnsi="Times New Roman" w:eastAsia="仿宋_GB2312"/>
          <w:sz w:val="32"/>
          <w:szCs w:val="32"/>
        </w:rPr>
        <w:t>协保员以及各区蔬菜种植协会积极配合保险经办机构做好辖区宣传材料、投保须知等宣传发动。</w:t>
      </w:r>
    </w:p>
    <w:p>
      <w:pPr>
        <w:snapToGrid w:val="0"/>
        <w:spacing w:line="336" w:lineRule="auto"/>
        <w:ind w:firstLine="643" w:firstLineChars="200"/>
        <w:rPr>
          <w:rFonts w:eastAsia="仿宋_GB2312"/>
          <w:sz w:val="32"/>
          <w:szCs w:val="32"/>
        </w:rPr>
      </w:pPr>
      <w:r>
        <w:rPr>
          <w:rFonts w:ascii="Times New Roman" w:hAnsi="Times New Roman" w:eastAsia="楷体_GB2312"/>
          <w:b/>
          <w:sz w:val="32"/>
          <w:szCs w:val="32"/>
        </w:rPr>
        <w:t>（二）提供资料、登记造册。</w:t>
      </w:r>
      <w:r>
        <w:rPr>
          <w:rFonts w:eastAsia="仿宋_GB2312"/>
          <w:sz w:val="32"/>
          <w:szCs w:val="32"/>
        </w:rPr>
        <w:t>“</w:t>
      </w:r>
      <w:r>
        <w:rPr>
          <w:rFonts w:hAnsi="Times New Roman" w:eastAsia="仿宋_GB2312"/>
          <w:sz w:val="32"/>
          <w:szCs w:val="32"/>
        </w:rPr>
        <w:t>三农</w:t>
      </w:r>
      <w:r>
        <w:rPr>
          <w:rFonts w:eastAsia="仿宋_GB2312"/>
          <w:sz w:val="32"/>
          <w:szCs w:val="32"/>
        </w:rPr>
        <w:t>”</w:t>
      </w:r>
      <w:r>
        <w:rPr>
          <w:rFonts w:hAnsi="Times New Roman" w:eastAsia="仿宋_GB2312"/>
          <w:sz w:val="32"/>
          <w:szCs w:val="32"/>
        </w:rPr>
        <w:t>协保员协助收集投保农户的基本信息</w:t>
      </w:r>
      <w:r>
        <w:rPr>
          <w:rFonts w:eastAsia="仿宋_GB2312"/>
          <w:sz w:val="32"/>
          <w:szCs w:val="32"/>
        </w:rPr>
        <w:t>（投保人名称、联系方式、银行账号等，</w:t>
      </w:r>
      <w:r>
        <w:rPr>
          <w:rFonts w:hAnsi="Times New Roman" w:eastAsia="仿宋_GB2312"/>
          <w:sz w:val="32"/>
          <w:szCs w:val="32"/>
        </w:rPr>
        <w:t>投保人为农业生产经营组织的，还需提供企业法人营业执照、组织机构代码证、税务登记证、法人或代表人身份证），以及保险标的的信息（种植地点方位、种植面积、投保数量；如有租地合同或土地流转合同，也应一并收集），由保险经办机构审核相关信息。</w:t>
      </w:r>
    </w:p>
    <w:p>
      <w:pPr>
        <w:snapToGrid w:val="0"/>
        <w:spacing w:line="336" w:lineRule="auto"/>
        <w:ind w:firstLine="643" w:firstLineChars="200"/>
        <w:rPr>
          <w:rFonts w:eastAsia="仿宋_GB2312"/>
          <w:sz w:val="32"/>
          <w:szCs w:val="32"/>
        </w:rPr>
      </w:pPr>
      <w:r>
        <w:rPr>
          <w:rFonts w:ascii="Times New Roman" w:hAnsi="Times New Roman" w:eastAsia="楷体_GB2312"/>
          <w:b/>
          <w:sz w:val="32"/>
          <w:szCs w:val="32"/>
        </w:rPr>
        <w:t>（三）现场验标。</w:t>
      </w:r>
      <w:r>
        <w:rPr>
          <w:rFonts w:hAnsi="Times New Roman" w:eastAsia="仿宋_GB2312"/>
          <w:sz w:val="32"/>
          <w:szCs w:val="32"/>
        </w:rPr>
        <w:t>保险经办机构应根据</w:t>
      </w:r>
      <w:r>
        <w:rPr>
          <w:rFonts w:eastAsia="仿宋_GB2312"/>
          <w:sz w:val="32"/>
          <w:szCs w:val="32"/>
        </w:rPr>
        <w:t>“</w:t>
      </w:r>
      <w:r>
        <w:rPr>
          <w:rFonts w:hAnsi="Times New Roman" w:eastAsia="仿宋_GB2312"/>
          <w:sz w:val="32"/>
          <w:szCs w:val="32"/>
        </w:rPr>
        <w:t>验标承保</w:t>
      </w:r>
      <w:r>
        <w:rPr>
          <w:rFonts w:eastAsia="仿宋_GB2312"/>
          <w:sz w:val="32"/>
          <w:szCs w:val="32"/>
        </w:rPr>
        <w:t>”</w:t>
      </w:r>
      <w:r>
        <w:rPr>
          <w:rFonts w:hAnsi="Times New Roman" w:eastAsia="仿宋_GB2312"/>
          <w:sz w:val="32"/>
          <w:szCs w:val="32"/>
        </w:rPr>
        <w:t>的原则，及时安排人员到投保人种植场实地查勘、核对保险标的信息，对投保数量、相关证件等进行核查，并进行现场抽查拍照、核对保险标的。</w:t>
      </w:r>
    </w:p>
    <w:p>
      <w:pPr>
        <w:snapToGrid w:val="0"/>
        <w:spacing w:line="336" w:lineRule="auto"/>
        <w:ind w:firstLine="643" w:firstLineChars="200"/>
        <w:rPr>
          <w:rFonts w:eastAsia="仿宋_GB2312"/>
          <w:sz w:val="32"/>
          <w:szCs w:val="32"/>
        </w:rPr>
      </w:pPr>
      <w:r>
        <w:rPr>
          <w:rFonts w:ascii="Times New Roman" w:hAnsi="Times New Roman" w:eastAsia="楷体_GB2312"/>
          <w:b/>
          <w:sz w:val="32"/>
          <w:szCs w:val="32"/>
        </w:rPr>
        <w:t>（四）填写投保单。</w:t>
      </w:r>
      <w:r>
        <w:rPr>
          <w:rFonts w:hAnsi="Times New Roman" w:eastAsia="仿宋_GB2312"/>
          <w:sz w:val="32"/>
          <w:szCs w:val="32"/>
        </w:rPr>
        <w:t>保险机构业务人员或协保员应向投保人告知条款内容，重点说明保险责任、责任免除、报案方式等，并指导投保人逐项填写投保单。单独投保的业务，由投保人盖章或签名确认；集体投保的业务，应由投保组织者统一填写投保单并盖章确认，由投保人或其直系亲属对投保分户清单有关内容进行确认，并在投保分户清单上签字确认。蔬菜承保时在保单中约定最近的气象站点。</w:t>
      </w:r>
    </w:p>
    <w:p>
      <w:pPr>
        <w:snapToGrid w:val="0"/>
        <w:spacing w:line="336" w:lineRule="auto"/>
        <w:ind w:firstLine="643" w:firstLineChars="200"/>
        <w:rPr>
          <w:rFonts w:eastAsia="仿宋_GB2312"/>
          <w:sz w:val="32"/>
          <w:szCs w:val="32"/>
        </w:rPr>
      </w:pPr>
      <w:r>
        <w:rPr>
          <w:rFonts w:ascii="Times New Roman" w:hAnsi="Times New Roman" w:eastAsia="楷体_GB2312"/>
          <w:b/>
          <w:sz w:val="32"/>
          <w:szCs w:val="32"/>
        </w:rPr>
        <w:t>（五）承保公示。</w:t>
      </w:r>
      <w:r>
        <w:rPr>
          <w:rFonts w:hAnsi="Times New Roman" w:eastAsia="仿宋_GB2312"/>
          <w:sz w:val="32"/>
          <w:szCs w:val="32"/>
        </w:rPr>
        <w:t>区保险经办机构对参保资料进行审核确认盖章，将各农户投保明细清单反馈至镇（街道）农办，选择镇（街道）和村委会较为明显的区域张贴公示材料并公示</w:t>
      </w:r>
      <w:r>
        <w:rPr>
          <w:rFonts w:eastAsia="仿宋_GB2312"/>
          <w:sz w:val="32"/>
          <w:szCs w:val="32"/>
        </w:rPr>
        <w:t>3</w:t>
      </w:r>
      <w:r>
        <w:rPr>
          <w:rFonts w:hAnsi="Times New Roman" w:eastAsia="仿宋_GB2312"/>
          <w:sz w:val="32"/>
          <w:szCs w:val="32"/>
        </w:rPr>
        <w:t>天，也可通过广播、电视、互联网、短信、微信等方式公示。保险公司或协保员应注意将公示资料留存归档。公示期间，若接到对公示内容的反馈意见，应及时进行核实，确定是否需要修改投保信息。</w:t>
      </w:r>
    </w:p>
    <w:p>
      <w:pPr>
        <w:snapToGrid w:val="0"/>
        <w:spacing w:line="336" w:lineRule="auto"/>
        <w:ind w:firstLine="643" w:firstLineChars="200"/>
        <w:rPr>
          <w:rFonts w:eastAsia="仿宋_GB2312"/>
          <w:sz w:val="32"/>
          <w:szCs w:val="32"/>
        </w:rPr>
      </w:pPr>
      <w:r>
        <w:rPr>
          <w:rFonts w:ascii="Times New Roman" w:hAnsi="Times New Roman" w:eastAsia="楷体_GB2312"/>
          <w:b/>
          <w:sz w:val="32"/>
          <w:szCs w:val="32"/>
        </w:rPr>
        <w:t>（六）见费出单。</w:t>
      </w:r>
      <w:r>
        <w:rPr>
          <w:rFonts w:hAnsi="Times New Roman" w:eastAsia="仿宋_GB2312"/>
          <w:sz w:val="32"/>
          <w:szCs w:val="32"/>
        </w:rPr>
        <w:t>承保公示</w:t>
      </w:r>
      <w:r>
        <w:rPr>
          <w:rFonts w:eastAsia="仿宋_GB2312"/>
          <w:sz w:val="32"/>
          <w:szCs w:val="32"/>
        </w:rPr>
        <w:t>3</w:t>
      </w:r>
      <w:r>
        <w:rPr>
          <w:rFonts w:hAnsi="Times New Roman" w:eastAsia="仿宋_GB2312"/>
          <w:sz w:val="32"/>
          <w:szCs w:val="32"/>
        </w:rPr>
        <w:t>天后，如无收到异议信息，保险公司向投保人收取自缴部分的保险费，并向投保人出具保险单，保险生效。</w:t>
      </w:r>
    </w:p>
    <w:p>
      <w:pPr>
        <w:snapToGrid w:val="0"/>
        <w:spacing w:line="336" w:lineRule="auto"/>
        <w:ind w:firstLine="640" w:firstLineChars="200"/>
        <w:rPr>
          <w:rFonts w:eastAsia="黑体"/>
          <w:bCs/>
          <w:color w:val="000000"/>
          <w:kern w:val="0"/>
          <w:sz w:val="32"/>
          <w:szCs w:val="32"/>
        </w:rPr>
      </w:pPr>
      <w:r>
        <w:rPr>
          <w:rFonts w:hAnsi="Times New Roman" w:eastAsia="黑体"/>
          <w:bCs/>
          <w:color w:val="000000"/>
          <w:kern w:val="0"/>
          <w:sz w:val="32"/>
          <w:szCs w:val="32"/>
        </w:rPr>
        <w:t>七、理赔流程</w:t>
      </w:r>
    </w:p>
    <w:p>
      <w:pPr>
        <w:snapToGrid w:val="0"/>
        <w:spacing w:line="336" w:lineRule="auto"/>
        <w:ind w:firstLine="643" w:firstLineChars="200"/>
        <w:rPr>
          <w:rFonts w:eastAsia="仿宋_GB2312"/>
          <w:color w:val="000000"/>
          <w:kern w:val="0"/>
          <w:sz w:val="32"/>
          <w:szCs w:val="32"/>
        </w:rPr>
      </w:pPr>
      <w:r>
        <w:rPr>
          <w:rFonts w:ascii="Times New Roman" w:hAnsi="Times New Roman" w:eastAsia="楷体_GB2312"/>
          <w:b/>
          <w:sz w:val="32"/>
          <w:szCs w:val="32"/>
        </w:rPr>
        <w:t>（一）出险报案。</w:t>
      </w:r>
      <w:r>
        <w:rPr>
          <w:rFonts w:hAnsi="Times New Roman" w:eastAsia="仿宋_GB2312"/>
          <w:color w:val="000000"/>
          <w:kern w:val="0"/>
          <w:sz w:val="32"/>
          <w:szCs w:val="32"/>
        </w:rPr>
        <w:t>不需农户报案，当约定的气象站观测数据达到赔偿触发条件时，市气象部门审核发布相关证明或报告，保险公司根据证明或报告必须主动联系受灾农户（企业）办理理赔。</w:t>
      </w:r>
    </w:p>
    <w:p>
      <w:pPr>
        <w:spacing w:line="336" w:lineRule="auto"/>
        <w:ind w:firstLine="643" w:firstLineChars="200"/>
        <w:rPr>
          <w:rFonts w:eastAsia="仿宋_GB2312"/>
          <w:color w:val="000000"/>
          <w:kern w:val="0"/>
          <w:sz w:val="32"/>
          <w:szCs w:val="32"/>
        </w:rPr>
      </w:pPr>
      <w:r>
        <w:rPr>
          <w:rFonts w:ascii="Times New Roman" w:hAnsi="Times New Roman" w:eastAsia="楷体_GB2312"/>
          <w:b/>
          <w:sz w:val="32"/>
          <w:szCs w:val="32"/>
        </w:rPr>
        <w:t>（二）确定赔款。</w:t>
      </w:r>
      <w:r>
        <w:rPr>
          <w:rFonts w:hAnsi="Times New Roman" w:eastAsia="仿宋_GB2312"/>
          <w:color w:val="000000"/>
          <w:kern w:val="0"/>
          <w:sz w:val="32"/>
          <w:szCs w:val="32"/>
        </w:rPr>
        <w:t>保险机构根据相关气象证明或报告按照本保险方案约定，确定赔款金额。</w:t>
      </w:r>
    </w:p>
    <w:p>
      <w:pPr>
        <w:spacing w:line="336" w:lineRule="auto"/>
        <w:ind w:firstLine="643" w:firstLineChars="200"/>
        <w:rPr>
          <w:rFonts w:eastAsia="仿宋_GB2312"/>
          <w:color w:val="000000"/>
          <w:kern w:val="0"/>
          <w:sz w:val="32"/>
          <w:szCs w:val="32"/>
        </w:rPr>
      </w:pPr>
      <w:r>
        <w:rPr>
          <w:rFonts w:ascii="Times New Roman" w:hAnsi="Times New Roman" w:eastAsia="楷体_GB2312"/>
          <w:b/>
          <w:sz w:val="32"/>
          <w:szCs w:val="32"/>
        </w:rPr>
        <w:t>（三）理赔公示。</w:t>
      </w:r>
      <w:r>
        <w:rPr>
          <w:rFonts w:hAnsi="Times New Roman" w:eastAsia="仿宋_GB2312"/>
          <w:color w:val="000000"/>
          <w:kern w:val="0"/>
          <w:sz w:val="32"/>
          <w:szCs w:val="32"/>
        </w:rPr>
        <w:t>保险经办机构应在收到相关气象证明或报告的</w:t>
      </w:r>
      <w:r>
        <w:rPr>
          <w:rFonts w:eastAsia="仿宋_GB2312"/>
          <w:color w:val="000000"/>
          <w:kern w:val="0"/>
          <w:sz w:val="32"/>
          <w:szCs w:val="32"/>
        </w:rPr>
        <w:t>2</w:t>
      </w:r>
      <w:r>
        <w:rPr>
          <w:rFonts w:hAnsi="Times New Roman" w:eastAsia="仿宋_GB2312"/>
          <w:color w:val="000000"/>
          <w:kern w:val="0"/>
          <w:sz w:val="32"/>
          <w:szCs w:val="32"/>
        </w:rPr>
        <w:t>个工作日内在参保户种植场所所在的镇（街）或村较为明显区域或宣传栏将相关赔款信息进行公示，公示时间应不少于</w:t>
      </w:r>
      <w:r>
        <w:rPr>
          <w:rFonts w:eastAsia="仿宋_GB2312"/>
          <w:color w:val="000000"/>
          <w:kern w:val="0"/>
          <w:sz w:val="32"/>
          <w:szCs w:val="32"/>
        </w:rPr>
        <w:t>3</w:t>
      </w:r>
      <w:r>
        <w:rPr>
          <w:rFonts w:hAnsi="Times New Roman" w:eastAsia="仿宋_GB2312"/>
          <w:color w:val="000000"/>
          <w:kern w:val="0"/>
          <w:sz w:val="32"/>
          <w:szCs w:val="32"/>
        </w:rPr>
        <w:t>天。</w:t>
      </w:r>
    </w:p>
    <w:p>
      <w:pPr>
        <w:spacing w:line="336" w:lineRule="auto"/>
        <w:ind w:firstLine="643" w:firstLineChars="200"/>
        <w:rPr>
          <w:rFonts w:eastAsia="仿宋_GB2312"/>
          <w:color w:val="000000"/>
          <w:kern w:val="0"/>
          <w:sz w:val="32"/>
          <w:szCs w:val="32"/>
        </w:rPr>
      </w:pPr>
      <w:r>
        <w:rPr>
          <w:rFonts w:ascii="Times New Roman" w:hAnsi="Times New Roman" w:eastAsia="楷体_GB2312"/>
          <w:b/>
          <w:sz w:val="32"/>
          <w:szCs w:val="32"/>
        </w:rPr>
        <w:t>（四）支付赔款。</w:t>
      </w:r>
      <w:r>
        <w:rPr>
          <w:rFonts w:hAnsi="Times New Roman" w:eastAsia="仿宋_GB2312"/>
          <w:color w:val="000000"/>
          <w:kern w:val="0"/>
          <w:sz w:val="32"/>
          <w:szCs w:val="32"/>
        </w:rPr>
        <w:t>保险经办机构按照公示后无异议的赔款金额向参保种植户的账户支付赔款。</w:t>
      </w:r>
    </w:p>
    <w:p>
      <w:pPr>
        <w:snapToGrid w:val="0"/>
        <w:spacing w:line="336" w:lineRule="auto"/>
        <w:ind w:firstLine="640" w:firstLineChars="200"/>
        <w:rPr>
          <w:rFonts w:eastAsia="黑体"/>
          <w:bCs/>
          <w:color w:val="000000"/>
          <w:kern w:val="0"/>
          <w:sz w:val="32"/>
          <w:szCs w:val="32"/>
        </w:rPr>
      </w:pPr>
      <w:r>
        <w:rPr>
          <w:rFonts w:hAnsi="Times New Roman" w:eastAsia="黑体"/>
          <w:bCs/>
          <w:color w:val="000000"/>
          <w:kern w:val="0"/>
          <w:sz w:val="32"/>
          <w:szCs w:val="32"/>
        </w:rPr>
        <w:t>八、职责分工</w:t>
      </w:r>
    </w:p>
    <w:p>
      <w:pPr>
        <w:snapToGrid w:val="0"/>
        <w:spacing w:line="336" w:lineRule="auto"/>
        <w:ind w:firstLine="660"/>
        <w:rPr>
          <w:rFonts w:eastAsia="仿宋_GB2312"/>
          <w:sz w:val="32"/>
          <w:szCs w:val="32"/>
        </w:rPr>
      </w:pPr>
      <w:r>
        <w:rPr>
          <w:rFonts w:eastAsia="仿宋_GB2312"/>
          <w:sz w:val="32"/>
          <w:szCs w:val="32"/>
        </w:rPr>
        <w:t>（一）市农业农村局：负责政策性蔬菜种植气象指数保险工作的宣传、指导和协调推进工作；负责市级保费补贴资金的编制和执行；发生重大疑难案件或大面积灾害时，协调组织评估专家小组配合保险公司及其他部门共同做好查勘定损理赔工作；定期或不定期牵头组织对蔬菜种植保险承保、理赔的真实性进行核实。</w:t>
      </w:r>
    </w:p>
    <w:p>
      <w:pPr>
        <w:snapToGrid w:val="0"/>
        <w:spacing w:line="336" w:lineRule="auto"/>
        <w:ind w:firstLine="660"/>
        <w:rPr>
          <w:rFonts w:eastAsia="仿宋_GB2312"/>
          <w:sz w:val="32"/>
          <w:szCs w:val="32"/>
        </w:rPr>
      </w:pPr>
      <w:r>
        <w:rPr>
          <w:rFonts w:eastAsia="仿宋_GB2312"/>
          <w:sz w:val="32"/>
          <w:szCs w:val="32"/>
        </w:rPr>
        <w:t>（二）市气象局：负责提供政策性蔬菜种植气象指数保险的理赔气象数据证明或报告，研究气象指数定损模型及应用，配合市农业农村局、保险公司做好保险理赔工作。</w:t>
      </w:r>
    </w:p>
    <w:p>
      <w:pPr>
        <w:snapToGrid w:val="0"/>
        <w:spacing w:line="336" w:lineRule="auto"/>
        <w:ind w:firstLine="660"/>
        <w:rPr>
          <w:rFonts w:eastAsia="仿宋_GB2312"/>
          <w:sz w:val="32"/>
          <w:szCs w:val="32"/>
        </w:rPr>
      </w:pPr>
      <w:r>
        <w:rPr>
          <w:rFonts w:eastAsia="仿宋_GB2312"/>
          <w:sz w:val="32"/>
          <w:szCs w:val="32"/>
        </w:rPr>
        <w:t>（三）区镇级农业部门：负责政策性蔬菜种植气象指数保险工作的宣传指导；本级保费补贴预算的申报及拨付工作；配合保险公司做好保险信息收集等工作；发生较大疑难案件或较大面积灾害时，协调组织评估专家配合保险公司及其他部门共同做好查勘定损理赔工作。</w:t>
      </w:r>
    </w:p>
    <w:p>
      <w:pPr>
        <w:snapToGrid w:val="0"/>
        <w:spacing w:line="336" w:lineRule="auto"/>
        <w:ind w:firstLine="660"/>
        <w:rPr>
          <w:rFonts w:eastAsia="仿宋_GB2312"/>
          <w:sz w:val="32"/>
          <w:szCs w:val="32"/>
        </w:rPr>
      </w:pPr>
      <w:r>
        <w:rPr>
          <w:rFonts w:eastAsia="仿宋_GB2312"/>
          <w:sz w:val="32"/>
          <w:szCs w:val="32"/>
        </w:rPr>
        <w:t>（四）各级财政部门：负责审核各级农业部门编报的保费补贴资金预算；保障资金及时足额拨付到位；加强补贴资金的监管。</w:t>
      </w:r>
    </w:p>
    <w:p>
      <w:pPr>
        <w:snapToGrid w:val="0"/>
        <w:spacing w:line="336" w:lineRule="auto"/>
        <w:ind w:firstLine="660"/>
        <w:rPr>
          <w:rFonts w:eastAsia="仿宋_GB2312"/>
          <w:sz w:val="32"/>
          <w:szCs w:val="32"/>
        </w:rPr>
      </w:pPr>
      <w:r>
        <w:rPr>
          <w:rFonts w:eastAsia="仿宋_GB2312"/>
          <w:sz w:val="32"/>
          <w:szCs w:val="32"/>
        </w:rPr>
        <w:t>（五）各级金融监督管理部门：负责与保险监管部门及承保机构协调沟通，协助做好政策性蔬菜种植气象指数保险的承保、理赔、服务、监管等工作。</w:t>
      </w:r>
    </w:p>
    <w:p>
      <w:pPr>
        <w:snapToGrid w:val="0"/>
        <w:spacing w:line="336" w:lineRule="auto"/>
        <w:ind w:firstLine="660"/>
        <w:rPr>
          <w:rFonts w:eastAsia="仿宋_GB2312"/>
          <w:sz w:val="32"/>
          <w:szCs w:val="32"/>
        </w:rPr>
      </w:pPr>
      <w:r>
        <w:rPr>
          <w:rFonts w:eastAsia="仿宋_GB2312"/>
          <w:sz w:val="32"/>
          <w:szCs w:val="32"/>
        </w:rPr>
        <w:t>（六）保险经办机构：负责做好蔬菜种植农户（</w:t>
      </w:r>
      <w:r>
        <w:rPr>
          <w:rFonts w:hAnsi="Times New Roman" w:eastAsia="仿宋_GB2312"/>
          <w:sz w:val="32"/>
        </w:rPr>
        <w:t>企业）</w:t>
      </w:r>
      <w:r>
        <w:rPr>
          <w:rFonts w:eastAsia="仿宋_GB2312"/>
          <w:sz w:val="32"/>
          <w:szCs w:val="32"/>
        </w:rPr>
        <w:t>档案资料的收集、审核、保存和管理工作；按规定报送保费补贴情况表并对承保数据的真实性负责；按政策性保险保费收入的5%标准列支协保工作经费；加强承保、防灾防损、查勘定损、理赔等专业化服务，做到理赔服务“三到户”，即查勘定损到户、赔款支付到户、理赔信息公开到户。</w:t>
      </w:r>
    </w:p>
    <w:p>
      <w:pPr>
        <w:snapToGrid w:val="0"/>
        <w:spacing w:line="336" w:lineRule="auto"/>
        <w:ind w:firstLine="660"/>
        <w:rPr>
          <w:rFonts w:eastAsia="仿宋_GB2312"/>
          <w:sz w:val="32"/>
          <w:szCs w:val="32"/>
        </w:rPr>
      </w:pPr>
    </w:p>
    <w:p>
      <w:pPr>
        <w:tabs>
          <w:tab w:val="left" w:pos="0"/>
        </w:tabs>
        <w:spacing w:line="336" w:lineRule="auto"/>
        <w:rPr>
          <w:rFonts w:eastAsia="仿宋_GB2312"/>
          <w:sz w:val="32"/>
          <w:szCs w:val="32"/>
        </w:rPr>
      </w:pPr>
      <w:r>
        <w:rPr>
          <w:rFonts w:hint="default" w:ascii="Times New Roman" w:eastAsia="仿宋_GB2312"/>
          <w:sz w:val="32"/>
          <w:szCs w:val="32"/>
        </w:rPr>
        <w:t xml:space="preserve">      附表：1.</w:t>
      </w:r>
      <w:r>
        <w:rPr>
          <w:rFonts w:hint="default" w:eastAsia="仿宋_GB2312"/>
          <w:sz w:val="32"/>
          <w:szCs w:val="32"/>
        </w:rPr>
        <w:t>广州市政策性</w:t>
      </w:r>
      <w:r>
        <w:rPr>
          <w:rFonts w:eastAsia="仿宋_GB2312"/>
          <w:sz w:val="32"/>
          <w:szCs w:val="32"/>
        </w:rPr>
        <w:t>蔬菜种植气象指数保险承保汇总表</w:t>
      </w:r>
    </w:p>
    <w:p>
      <w:pPr>
        <w:snapToGrid w:val="0"/>
        <w:spacing w:line="336" w:lineRule="auto"/>
        <w:ind w:firstLine="1961" w:firstLineChars="613"/>
        <w:rPr>
          <w:rFonts w:eastAsia="仿宋_GB2312"/>
          <w:sz w:val="32"/>
          <w:szCs w:val="32"/>
        </w:rPr>
        <w:sectPr>
          <w:footerReference r:id="rId3" w:type="default"/>
          <w:footerReference r:id="rId4" w:type="even"/>
          <w:pgSz w:w="11906" w:h="16838"/>
          <w:pgMar w:top="2098" w:right="1474" w:bottom="1985" w:left="1474" w:header="851" w:footer="1474" w:gutter="0"/>
          <w:cols w:space="720" w:num="1"/>
          <w:docGrid w:linePitch="312" w:charSpace="0"/>
        </w:sectPr>
      </w:pPr>
      <w:r>
        <w:rPr>
          <w:rFonts w:hint="default" w:eastAsia="仿宋_GB2312"/>
          <w:sz w:val="32"/>
          <w:szCs w:val="32"/>
        </w:rPr>
        <w:t>2.广州市政策性蔬菜种植气象指数保险承保明细表</w:t>
      </w:r>
    </w:p>
    <w:tbl>
      <w:tblPr>
        <w:tblStyle w:val="5"/>
        <w:tblW w:w="13800" w:type="dxa"/>
        <w:tblInd w:w="0" w:type="dxa"/>
        <w:tblLayout w:type="fixed"/>
        <w:tblCellMar>
          <w:top w:w="0" w:type="dxa"/>
          <w:left w:w="0" w:type="dxa"/>
          <w:bottom w:w="0" w:type="dxa"/>
          <w:right w:w="0" w:type="dxa"/>
        </w:tblCellMar>
      </w:tblPr>
      <w:tblGrid>
        <w:gridCol w:w="900"/>
        <w:gridCol w:w="1410"/>
        <w:gridCol w:w="1215"/>
        <w:gridCol w:w="1215"/>
        <w:gridCol w:w="1185"/>
        <w:gridCol w:w="1080"/>
        <w:gridCol w:w="1215"/>
        <w:gridCol w:w="1080"/>
        <w:gridCol w:w="1260"/>
        <w:gridCol w:w="1080"/>
        <w:gridCol w:w="1080"/>
        <w:gridCol w:w="1080"/>
      </w:tblGrid>
      <w:tr>
        <w:tblPrEx>
          <w:tblLayout w:type="fixed"/>
          <w:tblCellMar>
            <w:top w:w="0" w:type="dxa"/>
            <w:left w:w="0" w:type="dxa"/>
            <w:bottom w:w="0" w:type="dxa"/>
            <w:right w:w="0" w:type="dxa"/>
          </w:tblCellMar>
        </w:tblPrEx>
        <w:trPr>
          <w:trHeight w:val="510" w:hRule="atLeast"/>
        </w:trPr>
        <w:tc>
          <w:tcPr>
            <w:tcW w:w="13800" w:type="dxa"/>
            <w:gridSpan w:val="12"/>
            <w:tcBorders>
              <w:top w:val="nil"/>
              <w:left w:val="nil"/>
              <w:bottom w:val="nil"/>
              <w:right w:val="nil"/>
            </w:tcBorders>
            <w:tcMar>
              <w:top w:w="15" w:type="dxa"/>
              <w:left w:w="15" w:type="dxa"/>
              <w:right w:w="15" w:type="dxa"/>
            </w:tcMar>
            <w:vAlign w:val="center"/>
          </w:tcPr>
          <w:p>
            <w:pPr>
              <w:widowControl/>
              <w:textAlignment w:val="center"/>
              <w:rPr>
                <w:rFonts w:ascii="黑体" w:hAnsi="黑体" w:eastAsia="黑体" w:cs="宋体"/>
                <w:color w:val="000000"/>
                <w:kern w:val="0"/>
                <w:sz w:val="32"/>
                <w:szCs w:val="32"/>
                <w:lang w:bidi="ar"/>
              </w:rPr>
            </w:pPr>
            <w:r>
              <w:rPr>
                <w:rFonts w:hint="eastAsia" w:ascii="黑体" w:hAnsi="黑体" w:eastAsia="黑体" w:cs="宋体"/>
                <w:color w:val="000000"/>
                <w:kern w:val="0"/>
                <w:sz w:val="32"/>
                <w:szCs w:val="32"/>
                <w:lang w:bidi="ar"/>
              </w:rPr>
              <w:t>附表1</w:t>
            </w:r>
          </w:p>
          <w:p>
            <w:pPr>
              <w:widowControl/>
              <w:jc w:val="center"/>
              <w:textAlignment w:val="center"/>
              <w:rPr>
                <w:rFonts w:hint="eastAsia" w:ascii="宋体" w:hAnsi="宋体" w:cs="宋体"/>
                <w:color w:val="000000"/>
                <w:sz w:val="40"/>
                <w:szCs w:val="40"/>
              </w:rPr>
            </w:pPr>
            <w:r>
              <w:rPr>
                <w:rFonts w:hint="eastAsia" w:ascii="宋体" w:hAnsi="宋体" w:cs="宋体"/>
                <w:color w:val="000000"/>
                <w:kern w:val="0"/>
                <w:sz w:val="40"/>
                <w:szCs w:val="40"/>
                <w:lang w:bidi="ar"/>
              </w:rPr>
              <w:t>广州市政策性</w:t>
            </w:r>
            <w:r>
              <w:rPr>
                <w:rStyle w:val="6"/>
                <w:rFonts w:hint="default"/>
                <w:u w:val="none"/>
                <w:lang w:bidi="ar"/>
              </w:rPr>
              <w:t>蔬菜种植气象指数</w:t>
            </w:r>
            <w:r>
              <w:rPr>
                <w:rStyle w:val="7"/>
                <w:rFonts w:hint="default"/>
                <w:lang w:bidi="ar"/>
              </w:rPr>
              <w:t>保险承保汇总表</w:t>
            </w:r>
          </w:p>
        </w:tc>
      </w:tr>
      <w:tr>
        <w:tblPrEx>
          <w:tblLayout w:type="fixed"/>
          <w:tblCellMar>
            <w:top w:w="0" w:type="dxa"/>
            <w:left w:w="0" w:type="dxa"/>
            <w:bottom w:w="0" w:type="dxa"/>
            <w:right w:w="0" w:type="dxa"/>
          </w:tblCellMar>
        </w:tblPrEx>
        <w:trPr>
          <w:trHeight w:val="285" w:hRule="atLeast"/>
        </w:trPr>
        <w:tc>
          <w:tcPr>
            <w:tcW w:w="900"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4"/>
              </w:rPr>
            </w:pPr>
          </w:p>
        </w:tc>
        <w:tc>
          <w:tcPr>
            <w:tcW w:w="1410"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4"/>
              </w:rPr>
            </w:pPr>
          </w:p>
        </w:tc>
        <w:tc>
          <w:tcPr>
            <w:tcW w:w="1215"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4"/>
              </w:rPr>
            </w:pPr>
          </w:p>
        </w:tc>
        <w:tc>
          <w:tcPr>
            <w:tcW w:w="1215"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4"/>
              </w:rPr>
            </w:pPr>
          </w:p>
        </w:tc>
        <w:tc>
          <w:tcPr>
            <w:tcW w:w="1185"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4"/>
              </w:rPr>
            </w:pPr>
          </w:p>
        </w:tc>
        <w:tc>
          <w:tcPr>
            <w:tcW w:w="1215"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4"/>
              </w:rPr>
            </w:pPr>
          </w:p>
        </w:tc>
        <w:tc>
          <w:tcPr>
            <w:tcW w:w="1260"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nil"/>
              <w:left w:val="nil"/>
              <w:bottom w:val="nil"/>
              <w:right w:val="nil"/>
            </w:tcBorders>
            <w:tcMar>
              <w:top w:w="15" w:type="dxa"/>
              <w:left w:w="15" w:type="dxa"/>
              <w:right w:w="15" w:type="dxa"/>
            </w:tcMar>
            <w:vAlign w:val="center"/>
          </w:tcPr>
          <w:p>
            <w:pPr>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285" w:hRule="atLeast"/>
        </w:trPr>
        <w:tc>
          <w:tcPr>
            <w:tcW w:w="7005"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统计季度：</w:t>
            </w:r>
            <w:r>
              <w:rPr>
                <w:rStyle w:val="8"/>
                <w:rFonts w:hint="default"/>
                <w:lang w:bidi="ar"/>
              </w:rPr>
              <w:t>　　</w:t>
            </w:r>
            <w:r>
              <w:rPr>
                <w:rStyle w:val="9"/>
                <w:rFonts w:hint="default"/>
                <w:lang w:bidi="ar"/>
              </w:rPr>
              <w:t>年第</w:t>
            </w:r>
            <w:r>
              <w:rPr>
                <w:rStyle w:val="8"/>
                <w:rFonts w:hint="default"/>
                <w:lang w:bidi="ar"/>
              </w:rPr>
              <w:t>　　</w:t>
            </w:r>
            <w:r>
              <w:rPr>
                <w:rStyle w:val="9"/>
                <w:rFonts w:hint="default"/>
                <w:lang w:bidi="ar"/>
              </w:rPr>
              <w:t>季；</w:t>
            </w:r>
          </w:p>
        </w:tc>
        <w:tc>
          <w:tcPr>
            <w:tcW w:w="1215" w:type="dxa"/>
            <w:tcBorders>
              <w:top w:val="nil"/>
              <w:left w:val="nil"/>
              <w:bottom w:val="single" w:color="000000" w:sz="4" w:space="0"/>
              <w:right w:val="nil"/>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2"/>
                <w:szCs w:val="22"/>
              </w:rPr>
            </w:pPr>
          </w:p>
        </w:tc>
        <w:tc>
          <w:tcPr>
            <w:tcW w:w="3420" w:type="dxa"/>
            <w:gridSpan w:val="3"/>
            <w:tcBorders>
              <w:top w:val="nil"/>
              <w:left w:val="nil"/>
              <w:bottom w:val="nil"/>
              <w:right w:val="nil"/>
            </w:tcBorders>
            <w:tcMar>
              <w:top w:w="15" w:type="dxa"/>
              <w:left w:w="15" w:type="dxa"/>
              <w:right w:w="15" w:type="dxa"/>
            </w:tcMar>
            <w:vAlign w:val="center"/>
          </w:tcPr>
          <w:p>
            <w:pPr>
              <w:jc w:val="right"/>
              <w:rPr>
                <w:rFonts w:hint="eastAsia" w:ascii="宋体" w:hAnsi="宋体" w:cs="宋体"/>
                <w:color w:val="000000"/>
                <w:sz w:val="22"/>
                <w:szCs w:val="22"/>
              </w:rPr>
            </w:pPr>
            <w:r>
              <w:rPr>
                <w:rFonts w:hint="eastAsia" w:ascii="宋体" w:hAnsi="宋体" w:cs="宋体"/>
                <w:color w:val="000000"/>
                <w:kern w:val="0"/>
                <w:sz w:val="24"/>
                <w:lang w:bidi="ar"/>
              </w:rPr>
              <w:t>单位：元</w:t>
            </w:r>
          </w:p>
        </w:tc>
        <w:tc>
          <w:tcPr>
            <w:tcW w:w="1080" w:type="dxa"/>
            <w:tcBorders>
              <w:top w:val="nil"/>
              <w:left w:val="nil"/>
              <w:bottom w:val="nil"/>
              <w:right w:val="nil"/>
            </w:tcBorders>
            <w:tcMar>
              <w:top w:w="15" w:type="dxa"/>
              <w:left w:w="15" w:type="dxa"/>
              <w:right w:w="15" w:type="dxa"/>
            </w:tcMar>
            <w:vAlign w:val="center"/>
          </w:tcPr>
          <w:p>
            <w:pPr>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20" w:hRule="atLeast"/>
        </w:trPr>
        <w:tc>
          <w:tcPr>
            <w:tcW w:w="9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序号</w:t>
            </w:r>
          </w:p>
        </w:tc>
        <w:tc>
          <w:tcPr>
            <w:tcW w:w="141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行政区域</w:t>
            </w:r>
          </w:p>
        </w:tc>
        <w:tc>
          <w:tcPr>
            <w:tcW w:w="121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本季承保数量</w:t>
            </w:r>
          </w:p>
        </w:tc>
        <w:tc>
          <w:tcPr>
            <w:tcW w:w="121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本季投保</w:t>
            </w:r>
            <w:r>
              <w:rPr>
                <w:rStyle w:val="9"/>
                <w:rFonts w:hint="default"/>
                <w:lang w:bidi="ar"/>
              </w:rPr>
              <w:br w:type="textWrapping"/>
            </w:r>
            <w:r>
              <w:rPr>
                <w:rStyle w:val="9"/>
                <w:rFonts w:hint="default"/>
                <w:lang w:bidi="ar"/>
              </w:rPr>
              <w:t>总金额</w:t>
            </w:r>
          </w:p>
        </w:tc>
        <w:tc>
          <w:tcPr>
            <w:tcW w:w="1185" w:type="dxa"/>
            <w:vMerge w:val="restart"/>
            <w:tcBorders>
              <w:top w:val="single" w:color="000000" w:sz="4" w:space="0"/>
              <w:left w:val="nil"/>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本季投保总保费</w:t>
            </w:r>
          </w:p>
        </w:tc>
        <w:tc>
          <w:tcPr>
            <w:tcW w:w="22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市本级财政补贴</w:t>
            </w:r>
          </w:p>
        </w:tc>
        <w:tc>
          <w:tcPr>
            <w:tcW w:w="234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区级财政补贴</w:t>
            </w:r>
          </w:p>
        </w:tc>
        <w:tc>
          <w:tcPr>
            <w:tcW w:w="2160"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农户缴纳保费</w:t>
            </w:r>
          </w:p>
        </w:tc>
        <w:tc>
          <w:tcPr>
            <w:tcW w:w="1080" w:type="dxa"/>
            <w:tcBorders>
              <w:top w:val="nil"/>
              <w:left w:val="nil"/>
              <w:bottom w:val="nil"/>
              <w:right w:val="nil"/>
            </w:tcBorders>
            <w:tcMar>
              <w:top w:w="15" w:type="dxa"/>
              <w:left w:w="15" w:type="dxa"/>
              <w:right w:w="15" w:type="dxa"/>
            </w:tcMar>
            <w:vAlign w:val="center"/>
          </w:tcPr>
          <w:p>
            <w:pPr>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80" w:hRule="atLeast"/>
        </w:trPr>
        <w:tc>
          <w:tcPr>
            <w:tcW w:w="9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rPr>
            </w:pPr>
          </w:p>
        </w:tc>
        <w:tc>
          <w:tcPr>
            <w:tcW w:w="141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rPr>
            </w:pPr>
          </w:p>
        </w:tc>
        <w:tc>
          <w:tcPr>
            <w:tcW w:w="12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rPr>
            </w:pPr>
          </w:p>
        </w:tc>
        <w:tc>
          <w:tcPr>
            <w:tcW w:w="121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rPr>
            </w:pPr>
          </w:p>
        </w:tc>
        <w:tc>
          <w:tcPr>
            <w:tcW w:w="1185" w:type="dxa"/>
            <w:vMerge w:val="continue"/>
            <w:tcBorders>
              <w:top w:val="single" w:color="000000" w:sz="4" w:space="0"/>
              <w:left w:val="nil"/>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2"/>
                <w:szCs w:val="22"/>
              </w:rPr>
            </w:pPr>
          </w:p>
        </w:tc>
        <w:tc>
          <w:tcPr>
            <w:tcW w:w="108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补贴</w:t>
            </w:r>
            <w:r>
              <w:rPr>
                <w:rStyle w:val="10"/>
                <w:rFonts w:hint="default"/>
                <w:lang w:bidi="ar"/>
              </w:rPr>
              <w:br w:type="textWrapping"/>
            </w:r>
            <w:r>
              <w:rPr>
                <w:rStyle w:val="10"/>
                <w:rFonts w:hint="default"/>
                <w:lang w:bidi="ar"/>
              </w:rPr>
              <w:t>比例</w:t>
            </w: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补贴</w:t>
            </w:r>
            <w:r>
              <w:rPr>
                <w:rStyle w:val="10"/>
                <w:rFonts w:hint="default"/>
                <w:lang w:bidi="ar"/>
              </w:rPr>
              <w:br w:type="textWrapping"/>
            </w:r>
            <w:r>
              <w:rPr>
                <w:rStyle w:val="10"/>
                <w:rFonts w:hint="default"/>
                <w:lang w:bidi="ar"/>
              </w:rPr>
              <w:t>金额</w:t>
            </w: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补贴</w:t>
            </w:r>
            <w:r>
              <w:rPr>
                <w:rStyle w:val="10"/>
                <w:rFonts w:hint="default"/>
                <w:lang w:bidi="ar"/>
              </w:rPr>
              <w:br w:type="textWrapping"/>
            </w:r>
            <w:r>
              <w:rPr>
                <w:rStyle w:val="10"/>
                <w:rFonts w:hint="default"/>
                <w:lang w:bidi="ar"/>
              </w:rPr>
              <w:t>比例</w:t>
            </w:r>
          </w:p>
        </w:tc>
        <w:tc>
          <w:tcPr>
            <w:tcW w:w="126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补贴</w:t>
            </w:r>
            <w:r>
              <w:rPr>
                <w:rStyle w:val="10"/>
                <w:rFonts w:hint="default"/>
                <w:lang w:bidi="ar"/>
              </w:rPr>
              <w:br w:type="textWrapping"/>
            </w:r>
            <w:r>
              <w:rPr>
                <w:rStyle w:val="10"/>
                <w:rFonts w:hint="default"/>
                <w:lang w:bidi="ar"/>
              </w:rPr>
              <w:t>金额</w:t>
            </w:r>
          </w:p>
        </w:tc>
        <w:tc>
          <w:tcPr>
            <w:tcW w:w="108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缴费</w:t>
            </w:r>
          </w:p>
          <w:p>
            <w:pPr>
              <w:widowControl/>
              <w:jc w:val="center"/>
              <w:textAlignment w:val="center"/>
              <w:rPr>
                <w:rFonts w:hint="eastAsia" w:ascii="宋体" w:hAnsi="宋体" w:cs="宋体"/>
                <w:color w:val="000000"/>
                <w:sz w:val="20"/>
                <w:szCs w:val="20"/>
              </w:rPr>
            </w:pPr>
            <w:r>
              <w:rPr>
                <w:rStyle w:val="10"/>
                <w:rFonts w:hint="default"/>
                <w:lang w:bidi="ar"/>
              </w:rPr>
              <w:t>比例</w:t>
            </w:r>
          </w:p>
        </w:tc>
        <w:tc>
          <w:tcPr>
            <w:tcW w:w="108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Style w:val="10"/>
                <w:rFonts w:hint="default"/>
                <w:lang w:bidi="ar"/>
              </w:rPr>
              <w:t>缴纳</w:t>
            </w:r>
            <w:r>
              <w:rPr>
                <w:rStyle w:val="10"/>
                <w:rFonts w:hint="default"/>
                <w:lang w:bidi="ar"/>
              </w:rPr>
              <w:br w:type="textWrapping"/>
            </w:r>
            <w:r>
              <w:rPr>
                <w:rStyle w:val="10"/>
                <w:rFonts w:hint="default"/>
                <w:lang w:bidi="ar"/>
              </w:rPr>
              <w:t>金额</w:t>
            </w:r>
          </w:p>
        </w:tc>
        <w:tc>
          <w:tcPr>
            <w:tcW w:w="1080" w:type="dxa"/>
            <w:tcBorders>
              <w:top w:val="nil"/>
              <w:left w:val="nil"/>
              <w:bottom w:val="nil"/>
              <w:right w:val="nil"/>
            </w:tcBorders>
            <w:tcMar>
              <w:top w:w="15" w:type="dxa"/>
              <w:left w:w="15" w:type="dxa"/>
              <w:right w:w="15" w:type="dxa"/>
            </w:tcMar>
            <w:vAlign w:val="center"/>
          </w:tcPr>
          <w:p>
            <w:pPr>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40" w:hRule="atLeast"/>
        </w:trPr>
        <w:tc>
          <w:tcPr>
            <w:tcW w:w="9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141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白云区</w:t>
            </w: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18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nil"/>
              <w:right w:val="nil"/>
            </w:tcBorders>
            <w:tcMar>
              <w:top w:w="15" w:type="dxa"/>
              <w:left w:w="15" w:type="dxa"/>
              <w:right w:w="15" w:type="dxa"/>
            </w:tcMar>
            <w:vAlign w:val="center"/>
          </w:tcPr>
          <w:p>
            <w:pPr>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40" w:hRule="atLeast"/>
        </w:trPr>
        <w:tc>
          <w:tcPr>
            <w:tcW w:w="9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141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从化区</w:t>
            </w: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18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nil"/>
              <w:right w:val="nil"/>
            </w:tcBorders>
            <w:tcMar>
              <w:top w:w="15" w:type="dxa"/>
              <w:left w:w="15" w:type="dxa"/>
              <w:right w:w="15" w:type="dxa"/>
            </w:tcMar>
            <w:vAlign w:val="center"/>
          </w:tcPr>
          <w:p>
            <w:pPr>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40" w:hRule="atLeast"/>
        </w:trPr>
        <w:tc>
          <w:tcPr>
            <w:tcW w:w="9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141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番禺区</w:t>
            </w: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18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nil"/>
              <w:right w:val="nil"/>
            </w:tcBorders>
            <w:tcMar>
              <w:top w:w="15" w:type="dxa"/>
              <w:left w:w="15" w:type="dxa"/>
              <w:right w:w="15" w:type="dxa"/>
            </w:tcMar>
            <w:vAlign w:val="center"/>
          </w:tcPr>
          <w:p>
            <w:pPr>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40" w:hRule="atLeast"/>
        </w:trPr>
        <w:tc>
          <w:tcPr>
            <w:tcW w:w="9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141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海珠区</w:t>
            </w: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18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nil"/>
              <w:right w:val="nil"/>
            </w:tcBorders>
            <w:tcMar>
              <w:top w:w="15" w:type="dxa"/>
              <w:left w:w="15" w:type="dxa"/>
              <w:right w:w="15" w:type="dxa"/>
            </w:tcMar>
            <w:vAlign w:val="center"/>
          </w:tcPr>
          <w:p>
            <w:pPr>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40" w:hRule="atLeast"/>
        </w:trPr>
        <w:tc>
          <w:tcPr>
            <w:tcW w:w="9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141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花都区</w:t>
            </w: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18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nil"/>
              <w:right w:val="nil"/>
            </w:tcBorders>
            <w:tcMar>
              <w:top w:w="15" w:type="dxa"/>
              <w:left w:w="15" w:type="dxa"/>
              <w:right w:w="15" w:type="dxa"/>
            </w:tcMar>
            <w:vAlign w:val="center"/>
          </w:tcPr>
          <w:p>
            <w:pPr>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40" w:hRule="atLeast"/>
        </w:trPr>
        <w:tc>
          <w:tcPr>
            <w:tcW w:w="9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141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黄埔区</w:t>
            </w: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18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nil"/>
              <w:right w:val="nil"/>
            </w:tcBorders>
            <w:tcMar>
              <w:top w:w="15" w:type="dxa"/>
              <w:left w:w="15" w:type="dxa"/>
              <w:right w:w="15" w:type="dxa"/>
            </w:tcMar>
            <w:vAlign w:val="center"/>
          </w:tcPr>
          <w:p>
            <w:pPr>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40" w:hRule="atLeast"/>
        </w:trPr>
        <w:tc>
          <w:tcPr>
            <w:tcW w:w="9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w:t>
            </w:r>
          </w:p>
        </w:tc>
        <w:tc>
          <w:tcPr>
            <w:tcW w:w="141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南沙区</w:t>
            </w: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18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nil"/>
              <w:right w:val="nil"/>
            </w:tcBorders>
            <w:tcMar>
              <w:top w:w="15" w:type="dxa"/>
              <w:left w:w="15" w:type="dxa"/>
              <w:right w:w="15" w:type="dxa"/>
            </w:tcMar>
            <w:vAlign w:val="center"/>
          </w:tcPr>
          <w:p>
            <w:pPr>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40" w:hRule="atLeast"/>
        </w:trPr>
        <w:tc>
          <w:tcPr>
            <w:tcW w:w="9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w:t>
            </w:r>
          </w:p>
        </w:tc>
        <w:tc>
          <w:tcPr>
            <w:tcW w:w="141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天河区</w:t>
            </w: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18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nil"/>
              <w:right w:val="nil"/>
            </w:tcBorders>
            <w:tcMar>
              <w:top w:w="15" w:type="dxa"/>
              <w:left w:w="15" w:type="dxa"/>
              <w:right w:w="15" w:type="dxa"/>
            </w:tcMar>
            <w:vAlign w:val="center"/>
          </w:tcPr>
          <w:p>
            <w:pPr>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40" w:hRule="atLeast"/>
        </w:trPr>
        <w:tc>
          <w:tcPr>
            <w:tcW w:w="9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p>
        </w:tc>
        <w:tc>
          <w:tcPr>
            <w:tcW w:w="141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增城区</w:t>
            </w: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18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nil"/>
              <w:right w:val="nil"/>
            </w:tcBorders>
            <w:tcMar>
              <w:top w:w="15" w:type="dxa"/>
              <w:left w:w="15" w:type="dxa"/>
              <w:right w:w="15" w:type="dxa"/>
            </w:tcMar>
            <w:vAlign w:val="center"/>
          </w:tcPr>
          <w:p>
            <w:pPr>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40" w:hRule="atLeast"/>
        </w:trPr>
        <w:tc>
          <w:tcPr>
            <w:tcW w:w="231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全市合计</w:t>
            </w: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18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1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26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nil"/>
              <w:right w:val="nil"/>
            </w:tcBorders>
            <w:tcMar>
              <w:top w:w="15" w:type="dxa"/>
              <w:left w:w="15" w:type="dxa"/>
              <w:right w:w="15" w:type="dxa"/>
            </w:tcMar>
            <w:vAlign w:val="center"/>
          </w:tcPr>
          <w:p>
            <w:pPr>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20" w:hRule="atLeast"/>
        </w:trPr>
        <w:tc>
          <w:tcPr>
            <w:tcW w:w="4740" w:type="dxa"/>
            <w:gridSpan w:val="4"/>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保险机构盖章</w:t>
            </w:r>
          </w:p>
        </w:tc>
        <w:tc>
          <w:tcPr>
            <w:tcW w:w="1185"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2"/>
                <w:szCs w:val="22"/>
              </w:rPr>
            </w:pPr>
          </w:p>
        </w:tc>
        <w:tc>
          <w:tcPr>
            <w:tcW w:w="4635" w:type="dxa"/>
            <w:gridSpan w:val="4"/>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农业主管部门盖章</w:t>
            </w:r>
          </w:p>
        </w:tc>
        <w:tc>
          <w:tcPr>
            <w:tcW w:w="1080"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nil"/>
              <w:right w:val="nil"/>
            </w:tcBorders>
            <w:tcMar>
              <w:top w:w="15" w:type="dxa"/>
              <w:left w:w="15" w:type="dxa"/>
              <w:right w:w="15" w:type="dxa"/>
            </w:tcMar>
            <w:vAlign w:val="center"/>
          </w:tcPr>
          <w:p>
            <w:pPr>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20" w:hRule="atLeast"/>
        </w:trPr>
        <w:tc>
          <w:tcPr>
            <w:tcW w:w="2310" w:type="dxa"/>
            <w:gridSpan w:val="2"/>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日期：</w:t>
            </w:r>
          </w:p>
        </w:tc>
        <w:tc>
          <w:tcPr>
            <w:tcW w:w="1215"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4"/>
              </w:rPr>
            </w:pPr>
          </w:p>
        </w:tc>
        <w:tc>
          <w:tcPr>
            <w:tcW w:w="1215"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2"/>
                <w:szCs w:val="22"/>
              </w:rPr>
            </w:pPr>
          </w:p>
        </w:tc>
        <w:tc>
          <w:tcPr>
            <w:tcW w:w="1185"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4"/>
              </w:rPr>
            </w:pPr>
          </w:p>
        </w:tc>
        <w:tc>
          <w:tcPr>
            <w:tcW w:w="2295" w:type="dxa"/>
            <w:gridSpan w:val="2"/>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日期：</w:t>
            </w:r>
          </w:p>
        </w:tc>
        <w:tc>
          <w:tcPr>
            <w:tcW w:w="1080"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2"/>
                <w:szCs w:val="22"/>
              </w:rPr>
            </w:pPr>
          </w:p>
        </w:tc>
        <w:tc>
          <w:tcPr>
            <w:tcW w:w="1260"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nil"/>
              <w:right w:val="nil"/>
            </w:tcBorders>
            <w:tcMar>
              <w:top w:w="15" w:type="dxa"/>
              <w:left w:w="15" w:type="dxa"/>
              <w:right w:w="15" w:type="dxa"/>
            </w:tcMar>
            <w:vAlign w:val="center"/>
          </w:tcPr>
          <w:p>
            <w:pPr>
              <w:rPr>
                <w:rFonts w:hint="eastAsia" w:ascii="宋体" w:hAnsi="宋体" w:cs="宋体"/>
                <w:color w:val="000000"/>
                <w:sz w:val="24"/>
              </w:rPr>
            </w:pPr>
          </w:p>
        </w:tc>
      </w:tr>
    </w:tbl>
    <w:p>
      <w:pPr>
        <w:tabs>
          <w:tab w:val="left" w:pos="0"/>
        </w:tabs>
        <w:spacing w:line="336" w:lineRule="auto"/>
        <w:rPr>
          <w:rFonts w:ascii="仿宋_GB2312" w:eastAsia="仿宋_GB2312"/>
          <w:sz w:val="32"/>
          <w:szCs w:val="32"/>
        </w:rPr>
        <w:sectPr>
          <w:pgSz w:w="16838" w:h="11906" w:orient="landscape"/>
          <w:pgMar w:top="1474" w:right="2097" w:bottom="1474" w:left="1984" w:header="851" w:footer="1559" w:gutter="0"/>
          <w:cols w:space="720" w:num="1"/>
          <w:docGrid w:linePitch="312" w:charSpace="0"/>
        </w:sectPr>
      </w:pPr>
    </w:p>
    <w:tbl>
      <w:tblPr>
        <w:tblStyle w:val="5"/>
        <w:tblW w:w="12495" w:type="dxa"/>
        <w:tblInd w:w="0" w:type="dxa"/>
        <w:tblLayout w:type="fixed"/>
        <w:tblCellMar>
          <w:top w:w="0" w:type="dxa"/>
          <w:left w:w="0" w:type="dxa"/>
          <w:bottom w:w="0" w:type="dxa"/>
          <w:right w:w="0" w:type="dxa"/>
        </w:tblCellMar>
      </w:tblPr>
      <w:tblGrid>
        <w:gridCol w:w="1080"/>
        <w:gridCol w:w="1305"/>
        <w:gridCol w:w="1080"/>
        <w:gridCol w:w="1080"/>
        <w:gridCol w:w="1290"/>
        <w:gridCol w:w="1260"/>
        <w:gridCol w:w="1080"/>
        <w:gridCol w:w="1080"/>
        <w:gridCol w:w="1080"/>
        <w:gridCol w:w="1080"/>
        <w:gridCol w:w="1080"/>
      </w:tblGrid>
      <w:tr>
        <w:tblPrEx>
          <w:tblLayout w:type="fixed"/>
          <w:tblCellMar>
            <w:top w:w="0" w:type="dxa"/>
            <w:left w:w="0" w:type="dxa"/>
            <w:bottom w:w="0" w:type="dxa"/>
            <w:right w:w="0" w:type="dxa"/>
          </w:tblCellMar>
        </w:tblPrEx>
        <w:trPr>
          <w:trHeight w:val="510" w:hRule="atLeast"/>
        </w:trPr>
        <w:tc>
          <w:tcPr>
            <w:tcW w:w="12495" w:type="dxa"/>
            <w:gridSpan w:val="11"/>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黑体" w:hAnsi="黑体" w:eastAsia="黑体" w:cs="宋体"/>
                <w:color w:val="000000"/>
                <w:kern w:val="0"/>
                <w:sz w:val="32"/>
                <w:szCs w:val="32"/>
                <w:lang w:bidi="ar"/>
              </w:rPr>
            </w:pPr>
            <w:r>
              <w:rPr>
                <w:rFonts w:hint="eastAsia" w:ascii="黑体" w:hAnsi="黑体" w:eastAsia="黑体" w:cs="宋体"/>
                <w:color w:val="000000"/>
                <w:kern w:val="0"/>
                <w:sz w:val="32"/>
                <w:szCs w:val="32"/>
                <w:lang w:bidi="ar"/>
              </w:rPr>
              <w:t>附表2</w:t>
            </w:r>
          </w:p>
          <w:p>
            <w:pPr>
              <w:widowControl/>
              <w:jc w:val="center"/>
              <w:textAlignment w:val="center"/>
              <w:rPr>
                <w:rFonts w:hint="eastAsia" w:ascii="宋体" w:hAnsi="宋体" w:cs="宋体"/>
                <w:color w:val="000000"/>
                <w:sz w:val="40"/>
                <w:szCs w:val="40"/>
              </w:rPr>
            </w:pPr>
            <w:r>
              <w:rPr>
                <w:rFonts w:hint="eastAsia" w:ascii="宋体" w:hAnsi="宋体" w:cs="宋体"/>
                <w:color w:val="000000"/>
                <w:kern w:val="0"/>
                <w:sz w:val="40"/>
                <w:szCs w:val="40"/>
                <w:lang w:bidi="ar"/>
              </w:rPr>
              <w:t>广州市政策性蔬菜种植气象指数保险承保明细表</w:t>
            </w:r>
          </w:p>
        </w:tc>
      </w:tr>
      <w:tr>
        <w:tblPrEx>
          <w:tblLayout w:type="fixed"/>
          <w:tblCellMar>
            <w:top w:w="0" w:type="dxa"/>
            <w:left w:w="0" w:type="dxa"/>
            <w:bottom w:w="0" w:type="dxa"/>
            <w:right w:w="0" w:type="dxa"/>
          </w:tblCellMar>
        </w:tblPrEx>
        <w:trPr>
          <w:trHeight w:val="285" w:hRule="atLeast"/>
        </w:trPr>
        <w:tc>
          <w:tcPr>
            <w:tcW w:w="108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30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4"/>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4"/>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4"/>
              </w:rPr>
            </w:pPr>
          </w:p>
        </w:tc>
        <w:tc>
          <w:tcPr>
            <w:tcW w:w="129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4"/>
              </w:rPr>
            </w:pPr>
          </w:p>
        </w:tc>
        <w:tc>
          <w:tcPr>
            <w:tcW w:w="126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4"/>
              </w:rPr>
            </w:pPr>
          </w:p>
        </w:tc>
        <w:tc>
          <w:tcPr>
            <w:tcW w:w="2160" w:type="dxa"/>
            <w:gridSpan w:val="2"/>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4"/>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4"/>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4"/>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360" w:hRule="atLeast"/>
        </w:trPr>
        <w:tc>
          <w:tcPr>
            <w:tcW w:w="12495" w:type="dxa"/>
            <w:gridSpan w:val="11"/>
            <w:tcBorders>
              <w:top w:val="nil"/>
              <w:left w:val="nil"/>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统计季度：</w:t>
            </w:r>
            <w:r>
              <w:rPr>
                <w:rStyle w:val="11"/>
                <w:rFonts w:hint="default"/>
                <w:lang w:bidi="ar"/>
              </w:rPr>
              <w:t>　　</w:t>
            </w:r>
            <w:r>
              <w:rPr>
                <w:rFonts w:hint="eastAsia" w:ascii="宋体" w:hAnsi="宋体" w:cs="宋体"/>
                <w:color w:val="000000"/>
                <w:kern w:val="0"/>
                <w:sz w:val="24"/>
                <w:lang w:bidi="ar"/>
              </w:rPr>
              <w:t>年第</w:t>
            </w:r>
            <w:r>
              <w:rPr>
                <w:rStyle w:val="11"/>
                <w:rFonts w:hint="default"/>
                <w:lang w:bidi="ar"/>
              </w:rPr>
              <w:t>　　</w:t>
            </w:r>
            <w:r>
              <w:rPr>
                <w:rFonts w:hint="eastAsia" w:ascii="宋体" w:hAnsi="宋体" w:cs="宋体"/>
                <w:color w:val="000000"/>
                <w:kern w:val="0"/>
                <w:sz w:val="24"/>
                <w:lang w:bidi="ar"/>
              </w:rPr>
              <w:t>季； 承保总户数：</w:t>
            </w:r>
            <w:r>
              <w:rPr>
                <w:rStyle w:val="11"/>
                <w:rFonts w:hint="default"/>
                <w:lang w:bidi="ar"/>
              </w:rPr>
              <w:t xml:space="preserve">　　  </w:t>
            </w:r>
            <w:r>
              <w:rPr>
                <w:rFonts w:hint="eastAsia" w:ascii="宋体" w:hAnsi="宋体" w:cs="宋体"/>
                <w:color w:val="000000"/>
                <w:kern w:val="0"/>
                <w:sz w:val="24"/>
                <w:lang w:bidi="ar"/>
              </w:rPr>
              <w:t>。　　                                          单位：元　　　　                                  　</w:t>
            </w:r>
          </w:p>
        </w:tc>
      </w:tr>
      <w:tr>
        <w:tblPrEx>
          <w:tblLayout w:type="fixed"/>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序号</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被保险人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保险数量</w:t>
            </w:r>
            <w:r>
              <w:rPr>
                <w:rStyle w:val="12"/>
                <w:rFonts w:hint="default"/>
                <w:lang w:bidi="ar"/>
              </w:rPr>
              <w:br w:type="textWrapping"/>
            </w:r>
            <w:r>
              <w:rPr>
                <w:rStyle w:val="12"/>
                <w:rFonts w:hint="default"/>
                <w:lang w:bidi="ar"/>
              </w:rPr>
              <w:t>(亩)</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标的种植</w:t>
            </w:r>
            <w:r>
              <w:rPr>
                <w:rStyle w:val="12"/>
                <w:rFonts w:hint="default"/>
                <w:lang w:bidi="ar"/>
              </w:rPr>
              <w:t>地点</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保险</w:t>
            </w:r>
            <w:r>
              <w:rPr>
                <w:rStyle w:val="12"/>
                <w:rFonts w:hint="default"/>
                <w:lang w:bidi="ar"/>
              </w:rPr>
              <w:br w:type="textWrapping"/>
            </w:r>
            <w:r>
              <w:rPr>
                <w:rStyle w:val="12"/>
                <w:rFonts w:hint="default"/>
                <w:lang w:bidi="ar"/>
              </w:rPr>
              <w:t>起始日</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保险</w:t>
            </w:r>
            <w:r>
              <w:rPr>
                <w:rStyle w:val="12"/>
                <w:rFonts w:hint="default"/>
                <w:lang w:bidi="ar"/>
              </w:rPr>
              <w:br w:type="textWrapping"/>
            </w:r>
            <w:r>
              <w:rPr>
                <w:rStyle w:val="12"/>
                <w:rFonts w:hint="default"/>
                <w:lang w:bidi="ar"/>
              </w:rPr>
              <w:t>终止日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保险金额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总保费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市级补贴金额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区级补贴金额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农户企业负担金额</w:t>
            </w: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480" w:hRule="atLeast"/>
        </w:trPr>
        <w:tc>
          <w:tcPr>
            <w:tcW w:w="817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合     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4"/>
              </w:rPr>
            </w:pPr>
          </w:p>
        </w:tc>
      </w:tr>
      <w:tr>
        <w:tblPrEx>
          <w:tblLayout w:type="fixed"/>
          <w:tblCellMar>
            <w:top w:w="0" w:type="dxa"/>
            <w:left w:w="0" w:type="dxa"/>
            <w:bottom w:w="0" w:type="dxa"/>
            <w:right w:w="0" w:type="dxa"/>
          </w:tblCellMar>
        </w:tblPrEx>
        <w:trPr>
          <w:trHeight w:val="285" w:hRule="atLeast"/>
        </w:trPr>
        <w:tc>
          <w:tcPr>
            <w:tcW w:w="7095" w:type="dxa"/>
            <w:gridSpan w:val="6"/>
            <w:tcBorders>
              <w:top w:val="single" w:color="000000"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保险机构盖章</w:t>
            </w:r>
          </w:p>
        </w:tc>
        <w:tc>
          <w:tcPr>
            <w:tcW w:w="1080" w:type="dxa"/>
            <w:tcBorders>
              <w:top w:val="single" w:color="000000" w:sz="4" w:space="0"/>
              <w:left w:val="nil"/>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2"/>
                <w:szCs w:val="22"/>
              </w:rPr>
            </w:pPr>
          </w:p>
        </w:tc>
        <w:tc>
          <w:tcPr>
            <w:tcW w:w="4320" w:type="dxa"/>
            <w:gridSpan w:val="4"/>
            <w:tcBorders>
              <w:top w:val="single" w:color="000000" w:sz="4" w:space="0"/>
              <w:left w:val="nil"/>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285" w:hRule="atLeast"/>
        </w:trPr>
        <w:tc>
          <w:tcPr>
            <w:tcW w:w="4545" w:type="dxa"/>
            <w:gridSpan w:val="4"/>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日期：</w:t>
            </w:r>
          </w:p>
        </w:tc>
        <w:tc>
          <w:tcPr>
            <w:tcW w:w="129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26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2"/>
                <w:szCs w:val="22"/>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4"/>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2"/>
                <w:szCs w:val="22"/>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长城小标宋体">
    <w:panose1 w:val="0201060901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hint="eastAsia" w:ascii="宋体" w:hAnsi="宋体"/>
        <w:sz w:val="28"/>
        <w:szCs w:val="28"/>
      </w:rPr>
    </w:pPr>
    <w:r>
      <w:rPr>
        <w:rStyle w:val="4"/>
        <w:rFonts w:hint="eastAsia" w:ascii="宋体" w:hAnsi="宋体"/>
        <w:sz w:val="28"/>
        <w:szCs w:val="28"/>
      </w:rPr>
      <w:t xml:space="preserve">— </w:t>
    </w: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14</w:t>
    </w:r>
    <w:r>
      <w:rPr>
        <w:rFonts w:ascii="宋体" w:hAnsi="宋体"/>
        <w:sz w:val="28"/>
        <w:szCs w:val="28"/>
      </w:rPr>
      <w:fldChar w:fldCharType="end"/>
    </w:r>
    <w:r>
      <w:rPr>
        <w:rStyle w:val="4"/>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62259"/>
    <w:rsid w:val="4322154A"/>
    <w:rsid w:val="7E862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 w:type="character" w:customStyle="1" w:styleId="6">
    <w:name w:val="font61"/>
    <w:basedOn w:val="3"/>
    <w:qFormat/>
    <w:uiPriority w:val="0"/>
    <w:rPr>
      <w:rFonts w:hint="eastAsia" w:ascii="宋体" w:hAnsi="宋体" w:eastAsia="宋体" w:cs="宋体"/>
      <w:color w:val="000000"/>
      <w:sz w:val="40"/>
      <w:szCs w:val="40"/>
      <w:u w:val="single"/>
    </w:rPr>
  </w:style>
  <w:style w:type="character" w:customStyle="1" w:styleId="7">
    <w:name w:val="font11"/>
    <w:basedOn w:val="3"/>
    <w:qFormat/>
    <w:uiPriority w:val="0"/>
    <w:rPr>
      <w:rFonts w:hint="eastAsia" w:ascii="宋体" w:hAnsi="宋体" w:eastAsia="宋体" w:cs="宋体"/>
      <w:color w:val="000000"/>
      <w:sz w:val="40"/>
      <w:szCs w:val="40"/>
      <w:u w:val="none"/>
    </w:rPr>
  </w:style>
  <w:style w:type="character" w:customStyle="1" w:styleId="8">
    <w:name w:val="font71"/>
    <w:basedOn w:val="3"/>
    <w:qFormat/>
    <w:uiPriority w:val="0"/>
    <w:rPr>
      <w:rFonts w:hint="eastAsia" w:ascii="宋体" w:hAnsi="宋体" w:eastAsia="宋体" w:cs="宋体"/>
      <w:color w:val="000000"/>
      <w:sz w:val="22"/>
      <w:szCs w:val="22"/>
      <w:u w:val="single"/>
    </w:rPr>
  </w:style>
  <w:style w:type="character" w:customStyle="1" w:styleId="9">
    <w:name w:val="font21"/>
    <w:basedOn w:val="3"/>
    <w:qFormat/>
    <w:uiPriority w:val="0"/>
    <w:rPr>
      <w:rFonts w:hint="eastAsia" w:ascii="宋体" w:hAnsi="宋体" w:eastAsia="宋体" w:cs="宋体"/>
      <w:color w:val="000000"/>
      <w:sz w:val="22"/>
      <w:szCs w:val="22"/>
      <w:u w:val="none"/>
    </w:rPr>
  </w:style>
  <w:style w:type="character" w:customStyle="1" w:styleId="10">
    <w:name w:val="font51"/>
    <w:basedOn w:val="3"/>
    <w:qFormat/>
    <w:uiPriority w:val="0"/>
    <w:rPr>
      <w:rFonts w:hint="eastAsia" w:ascii="宋体" w:hAnsi="宋体" w:eastAsia="宋体" w:cs="宋体"/>
      <w:color w:val="000000"/>
      <w:sz w:val="20"/>
      <w:szCs w:val="20"/>
      <w:u w:val="none"/>
    </w:rPr>
  </w:style>
  <w:style w:type="character" w:customStyle="1" w:styleId="11">
    <w:name w:val="font41"/>
    <w:basedOn w:val="3"/>
    <w:qFormat/>
    <w:uiPriority w:val="0"/>
    <w:rPr>
      <w:rFonts w:hint="eastAsia" w:ascii="宋体" w:hAnsi="宋体" w:eastAsia="宋体" w:cs="宋体"/>
      <w:color w:val="000000"/>
      <w:sz w:val="24"/>
      <w:szCs w:val="24"/>
      <w:u w:val="single"/>
    </w:rPr>
  </w:style>
  <w:style w:type="character" w:customStyle="1" w:styleId="12">
    <w:name w:val="font0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2019-05-06T06:27:00Z</dcterms:created>
  <dc:creator>采编编辑1557113745673</dc:creator>
  <cp:lastModifiedBy>采编编辑1557113745673</cp:lastModifiedBy>
  <dcterms:modified xsi:type="dcterms:W3CDTF">2019-05-06T06:27:37Z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